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44" w:rsidRPr="001A207E" w:rsidRDefault="00353344" w:rsidP="00353344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1A207E">
        <w:rPr>
          <w:lang w:val="hr-HR"/>
        </w:rPr>
        <w:t xml:space="preserve">        </w:t>
      </w:r>
      <w:r w:rsidRPr="001A207E">
        <w:rPr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37956331" r:id="rId6"/>
        </w:object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  <w:r w:rsidRPr="001A207E">
        <w:rPr>
          <w:lang w:val="hr-HR"/>
        </w:rPr>
        <w:tab/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REPUBLIKA HRVATSKA</w:t>
      </w:r>
    </w:p>
    <w:p w:rsidR="00353344" w:rsidRPr="001A207E" w:rsidRDefault="00353344" w:rsidP="00353344">
      <w:pPr>
        <w:keepNext/>
        <w:ind w:left="-567" w:hanging="142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>VUKOVARSKO-SRIJEMSKA ŽUPANIJA</w:t>
      </w:r>
    </w:p>
    <w:p w:rsidR="00353344" w:rsidRPr="001A207E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      OPĆINA LOVAS</w:t>
      </w:r>
    </w:p>
    <w:p w:rsidR="00353344" w:rsidRDefault="00353344" w:rsidP="00353344">
      <w:pPr>
        <w:keepNext/>
        <w:ind w:left="-709"/>
        <w:rPr>
          <w:rFonts w:ascii="Times New Roman" w:hAnsi="Times New Roman"/>
          <w:lang w:val="hr-HR"/>
        </w:rPr>
      </w:pPr>
      <w:r w:rsidRPr="001A207E">
        <w:rPr>
          <w:rFonts w:ascii="Times New Roman" w:hAnsi="Times New Roman"/>
          <w:lang w:val="hr-HR"/>
        </w:rPr>
        <w:t xml:space="preserve">            OPĆINSKI NAČELNIK</w:t>
      </w:r>
    </w:p>
    <w:p w:rsidR="00353344" w:rsidRPr="00753140" w:rsidRDefault="00353344" w:rsidP="00353344">
      <w:pPr>
        <w:rPr>
          <w:rFonts w:ascii="Times New Roman" w:hAnsi="Times New Roman"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353344" w:rsidRPr="00753140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753140"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353344" w:rsidRPr="001A207E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353344" w:rsidRPr="00753140" w:rsidRDefault="00353344" w:rsidP="00353344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3140">
        <w:rPr>
          <w:rFonts w:ascii="Times New Roman" w:hAnsi="Times New Roman"/>
          <w:b/>
          <w:sz w:val="32"/>
          <w:szCs w:val="32"/>
          <w:lang w:val="hr-HR"/>
        </w:rPr>
        <w:t>za razdoblje od 01. sij</w:t>
      </w:r>
      <w:r>
        <w:rPr>
          <w:rFonts w:ascii="Times New Roman" w:hAnsi="Times New Roman"/>
          <w:b/>
          <w:sz w:val="32"/>
          <w:szCs w:val="32"/>
          <w:lang w:val="hr-HR"/>
        </w:rPr>
        <w:t>ečnja do 31. prosinca 2022</w:t>
      </w:r>
      <w:r w:rsidRPr="00753140"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353344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753140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  <w:r w:rsidRPr="00753140"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353344" w:rsidRDefault="00353344" w:rsidP="00353344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353344" w:rsidRPr="00DD2875" w:rsidRDefault="00353344" w:rsidP="0035334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875">
        <w:rPr>
          <w:rFonts w:ascii="Times New Roman" w:hAnsi="Times New Roman"/>
          <w:sz w:val="24"/>
          <w:szCs w:val="24"/>
        </w:rPr>
        <w:t>Prema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podacima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Izvještaja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prihodima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primicima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izdacima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01.01.-31.12.2022.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ukupni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prihodi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ostvareni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2875">
        <w:rPr>
          <w:rFonts w:ascii="Times New Roman" w:hAnsi="Times New Roman"/>
          <w:sz w:val="24"/>
          <w:szCs w:val="24"/>
        </w:rPr>
        <w:t>iznosu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od 7.718.824,44 </w:t>
      </w:r>
      <w:proofErr w:type="spellStart"/>
      <w:r w:rsidRPr="00DD2875">
        <w:rPr>
          <w:rFonts w:ascii="Times New Roman" w:hAnsi="Times New Roman"/>
          <w:sz w:val="24"/>
          <w:szCs w:val="24"/>
        </w:rPr>
        <w:t>kn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875">
        <w:rPr>
          <w:rFonts w:ascii="Times New Roman" w:hAnsi="Times New Roman"/>
          <w:sz w:val="24"/>
          <w:szCs w:val="24"/>
        </w:rPr>
        <w:t>te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2875">
        <w:rPr>
          <w:rFonts w:ascii="Times New Roman" w:hAnsi="Times New Roman"/>
          <w:sz w:val="24"/>
          <w:szCs w:val="24"/>
        </w:rPr>
        <w:t>odnose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</w:t>
      </w:r>
      <w:proofErr w:type="spellEnd"/>
      <w:r w:rsidRPr="00DD2875">
        <w:rPr>
          <w:rFonts w:ascii="Times New Roman" w:hAnsi="Times New Roman"/>
          <w:sz w:val="24"/>
          <w:szCs w:val="24"/>
        </w:rPr>
        <w:t>:</w:t>
      </w:r>
    </w:p>
    <w:p w:rsidR="00353344" w:rsidRPr="00DD2875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A33D09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hr-HR"/>
        </w:rPr>
      </w:pPr>
      <w:r w:rsidRPr="00A33D09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61</w:t>
      </w:r>
      <w:r w:rsidRPr="00A33D09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–p</w:t>
      </w:r>
      <w:r w:rsidRPr="00A33D09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rihodi od poreza veći su u odnosu na 2021. godinu za 22,8 %</w:t>
      </w:r>
    </w:p>
    <w:p w:rsidR="00353344" w:rsidRPr="00C531B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</w:pPr>
      <w:r w:rsidRPr="00C531B0">
        <w:rPr>
          <w:rFonts w:ascii="Times New Roman" w:hAnsi="Times New Roman"/>
          <w:b/>
          <w:color w:val="000000" w:themeColor="text1"/>
          <w:sz w:val="24"/>
          <w:szCs w:val="24"/>
          <w:lang w:val="hr-HR"/>
        </w:rPr>
        <w:t>613</w:t>
      </w:r>
      <w:r w:rsidRPr="00C531B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– Naplatom poreza na kuće za odmor ostvareni su p</w:t>
      </w:r>
      <w:r w:rsidRPr="00C531B0">
        <w:rPr>
          <w:rFonts w:ascii="Times New Roman" w:hAnsi="Times New Roman"/>
          <w:bCs/>
          <w:color w:val="000000" w:themeColor="text1"/>
          <w:sz w:val="24"/>
          <w:szCs w:val="24"/>
          <w:lang w:val="hr-HR"/>
        </w:rPr>
        <w:t>rihodi veći u odnosu na 2021. godinu za 1460,7 %</w:t>
      </w:r>
    </w:p>
    <w:p w:rsidR="00353344" w:rsidRPr="00C531B0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color w:val="A6A6A6" w:themeColor="background1" w:themeShade="A6"/>
          <w:sz w:val="24"/>
          <w:szCs w:val="24"/>
          <w:lang w:val="hr-HR"/>
        </w:rPr>
      </w:pPr>
      <w:r w:rsidRPr="00C531B0">
        <w:rPr>
          <w:rFonts w:ascii="Times New Roman" w:hAnsi="Times New Roman"/>
          <w:b/>
          <w:sz w:val="24"/>
          <w:szCs w:val="24"/>
          <w:lang w:val="hr-HR"/>
        </w:rPr>
        <w:t>614</w:t>
      </w:r>
      <w:r w:rsidRPr="00C531B0">
        <w:rPr>
          <w:rFonts w:ascii="Times New Roman" w:hAnsi="Times New Roman"/>
          <w:sz w:val="24"/>
          <w:szCs w:val="24"/>
          <w:lang w:val="hr-HR"/>
        </w:rPr>
        <w:t xml:space="preserve"> – evidentan je rast prihoda </w:t>
      </w:r>
      <w:r w:rsidRPr="00C531B0">
        <w:rPr>
          <w:rFonts w:ascii="Times New Roman" w:hAnsi="Times New Roman"/>
          <w:bCs/>
          <w:sz w:val="24"/>
          <w:szCs w:val="24"/>
          <w:lang w:val="hr-HR"/>
        </w:rPr>
        <w:t xml:space="preserve">od poreza na promet od 175,90 %,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a </w:t>
      </w:r>
      <w:r w:rsidRPr="00C531B0">
        <w:rPr>
          <w:rFonts w:ascii="Times New Roman" w:hAnsi="Times New Roman"/>
          <w:bCs/>
          <w:sz w:val="24"/>
          <w:szCs w:val="24"/>
          <w:lang w:val="hr-HR"/>
        </w:rPr>
        <w:t xml:space="preserve">odnosi se na  povećanje potrošnje alkoholnih i bezalkoholnih pića u ugostiteljskim objektima 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bCs/>
          <w:sz w:val="24"/>
          <w:szCs w:val="24"/>
          <w:lang w:val="hr-HR"/>
        </w:rPr>
        <w:t xml:space="preserve">63 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>– pomoći iz inozemstva i od subjekata unutar općeg proračuna manje su u odnosu na 2021. godinu za 31,70%, a odnose se na:</w:t>
      </w:r>
    </w:p>
    <w:p w:rsidR="00353344" w:rsidRPr="00DD2875" w:rsidRDefault="00353344" w:rsidP="00353344">
      <w:pPr>
        <w:ind w:left="643"/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A4455A">
        <w:rPr>
          <w:rFonts w:ascii="Times New Roman" w:hAnsi="Times New Roman"/>
          <w:bCs/>
          <w:sz w:val="24"/>
          <w:szCs w:val="24"/>
          <w:lang w:val="hr-HR"/>
        </w:rPr>
        <w:lastRenderedPageBreak/>
        <w:t>Tekuće pomoći iz državnog proračuna-sredstva fiskalnog izravnanja – 1.465.511,76 kn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. 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Preostali dio tekućih pomoći odnosi se na uplate za najam za ukrajinske obitelji, pomoći od Središnjeg državnog ureda za demografiju i mlade u iznosu 176.000,00 kn, za troškove ogrjeva 10.500,00 kn, pomoći Ministarstva prostornog uređenja (za nabavu komunalne opreme) 50.000,00 kn, pomoći Ministarstva poljoprivrede (za gospodarski forum) 16.987,50 kn; Ag.za plaćanje u poljoprivredi (za igralište u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Lovasu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) 292.571,39 kn; kapitalna pomoć za arheološko istraživanje 9.250,00 kn; kapitalne pomoći za sanacija i uređenje zgrade doma kulture u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Opatovcu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u iznosu 200.000,00 kn; Ministarstvo branitelja (za spomen područje Minsko polje) 500.000,00 kn;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Min.regionalnog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razvoja i fondova EU (za spomen područje Minsko polje) 270.000,00 kn; VSŽ (za spomen područje Minsko polje) 80.000,00 kn; Općina </w:t>
      </w:r>
      <w:proofErr w:type="spellStart"/>
      <w:r w:rsidRPr="00A4455A">
        <w:rPr>
          <w:rFonts w:ascii="Times New Roman" w:hAnsi="Times New Roman"/>
          <w:bCs/>
          <w:sz w:val="24"/>
          <w:szCs w:val="24"/>
          <w:lang w:val="hr-HR"/>
        </w:rPr>
        <w:t>Malinska-Dubašnica</w:t>
      </w:r>
      <w:proofErr w:type="spellEnd"/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 (za spomen područje Minsko polje)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20.000,00 kn; t</w:t>
      </w:r>
      <w:r w:rsidRPr="00A4455A">
        <w:rPr>
          <w:rFonts w:ascii="Times New Roman" w:hAnsi="Times New Roman"/>
          <w:bCs/>
          <w:sz w:val="24"/>
          <w:szCs w:val="24"/>
          <w:lang w:val="hr-HR"/>
        </w:rPr>
        <w:t xml:space="preserve">ekuće pomoći od HZZ-a za javni rad u iznosu od 58.048,25 kn; Fond za zaštitu okoliša i energetsku učinkovitost (za nabavu komunalne opreme) 185.880,00 kn; tekuće pomoći -projekt Zaželi faza III - 490.445,40 kn; </w:t>
      </w:r>
      <w:proofErr w:type="spellStart"/>
      <w:r w:rsidRPr="00A4455A">
        <w:rPr>
          <w:rFonts w:ascii="Times New Roman" w:hAnsi="Times New Roman"/>
          <w:sz w:val="24"/>
          <w:szCs w:val="24"/>
        </w:rPr>
        <w:t>tekuće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4455A">
        <w:rPr>
          <w:rFonts w:ascii="Times New Roman" w:hAnsi="Times New Roman"/>
          <w:sz w:val="24"/>
          <w:szCs w:val="24"/>
        </w:rPr>
        <w:t>pomoći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temeljem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prijenosa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A4455A">
        <w:rPr>
          <w:rFonts w:ascii="Times New Roman" w:hAnsi="Times New Roman"/>
          <w:sz w:val="24"/>
          <w:szCs w:val="24"/>
        </w:rPr>
        <w:t>sredstava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4455A">
        <w:rPr>
          <w:rFonts w:ascii="Times New Roman" w:hAnsi="Times New Roman"/>
          <w:sz w:val="24"/>
          <w:szCs w:val="24"/>
        </w:rPr>
        <w:t>iznosu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od 481.177,84 </w:t>
      </w:r>
      <w:proofErr w:type="spellStart"/>
      <w:r w:rsidRPr="00A4455A">
        <w:rPr>
          <w:rFonts w:ascii="Times New Roman" w:hAnsi="Times New Roman"/>
          <w:sz w:val="24"/>
          <w:szCs w:val="24"/>
        </w:rPr>
        <w:t>kn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455A">
        <w:rPr>
          <w:rFonts w:ascii="Times New Roman" w:hAnsi="Times New Roman"/>
          <w:sz w:val="24"/>
          <w:szCs w:val="24"/>
        </w:rPr>
        <w:t>za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projekat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FED CCNET </w:t>
      </w:r>
      <w:proofErr w:type="spellStart"/>
      <w:r w:rsidRPr="00A4455A">
        <w:rPr>
          <w:rFonts w:ascii="Times New Roman" w:hAnsi="Times New Roman"/>
          <w:sz w:val="24"/>
          <w:szCs w:val="24"/>
        </w:rPr>
        <w:t>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Zaželi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55A">
        <w:rPr>
          <w:rFonts w:ascii="Times New Roman" w:hAnsi="Times New Roman"/>
          <w:sz w:val="24"/>
          <w:szCs w:val="24"/>
        </w:rPr>
        <w:t>faza</w:t>
      </w:r>
      <w:proofErr w:type="spellEnd"/>
      <w:r w:rsidRPr="00A4455A">
        <w:rPr>
          <w:rFonts w:ascii="Times New Roman" w:hAnsi="Times New Roman"/>
          <w:sz w:val="24"/>
          <w:szCs w:val="24"/>
        </w:rPr>
        <w:t xml:space="preserve"> II)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6415 – </w:t>
      </w:r>
      <w:r w:rsidRPr="00DD2875">
        <w:rPr>
          <w:rFonts w:ascii="Times New Roman" w:hAnsi="Times New Roman"/>
          <w:sz w:val="24"/>
          <w:szCs w:val="24"/>
          <w:lang w:val="hr-HR"/>
        </w:rPr>
        <w:t xml:space="preserve">u 2022. godini nije </w:t>
      </w:r>
      <w:proofErr w:type="spellStart"/>
      <w:r w:rsidRPr="00DD2875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A4455A">
        <w:rPr>
          <w:rFonts w:ascii="Times New Roman" w:hAnsi="Times New Roman"/>
          <w:sz w:val="24"/>
          <w:szCs w:val="24"/>
          <w:lang w:val="hr-HR"/>
        </w:rPr>
        <w:t>prihoda od pozitivnih tečajnih razlika i razlika zbog primjene valutne klauzule nakon povrata dugoročnog kredita u odnosu na 202</w:t>
      </w:r>
      <w:r>
        <w:rPr>
          <w:rFonts w:ascii="Times New Roman" w:hAnsi="Times New Roman"/>
          <w:sz w:val="24"/>
          <w:szCs w:val="24"/>
          <w:lang w:val="hr-HR"/>
        </w:rPr>
        <w:t>1. godinu kada je vraćen kredit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6422 </w:t>
      </w:r>
      <w:r w:rsidRPr="00A4455A">
        <w:rPr>
          <w:rFonts w:ascii="Times New Roman" w:hAnsi="Times New Roman"/>
          <w:sz w:val="24"/>
          <w:szCs w:val="24"/>
          <w:lang w:val="hr-HR"/>
        </w:rPr>
        <w:t>– Ostvareni prihod od zakupa i iznajmljivanja imovine u iznosu od 560.659,84 kn veći je u odnosu na 2021. za 83,40%, a odnosi se na naplatu prihoda od zakupa poljoprivrednog zemljišta, poslovnog prostora, radnog stroja i druge imovine</w:t>
      </w:r>
    </w:p>
    <w:p w:rsidR="00353344" w:rsidRPr="00A4455A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4455A">
        <w:rPr>
          <w:rFonts w:ascii="Times New Roman" w:hAnsi="Times New Roman"/>
          <w:b/>
          <w:sz w:val="24"/>
          <w:szCs w:val="24"/>
          <w:lang w:val="hr-HR"/>
        </w:rPr>
        <w:t xml:space="preserve">6423 </w:t>
      </w:r>
      <w:r w:rsidRPr="00A4455A">
        <w:rPr>
          <w:rFonts w:ascii="Times New Roman" w:hAnsi="Times New Roman"/>
          <w:sz w:val="24"/>
          <w:szCs w:val="24"/>
          <w:lang w:val="hr-HR"/>
        </w:rPr>
        <w:t>– smanjenje naknade za korištenje nefinancijske imovine od 63,70% odnosi se najvećim djelom na naknade za uporabu javnih gradskih/općinskih površina, odnosno uplatu Hrvatsko</w:t>
      </w:r>
      <w:r>
        <w:rPr>
          <w:rFonts w:ascii="Times New Roman" w:hAnsi="Times New Roman"/>
          <w:sz w:val="24"/>
          <w:szCs w:val="24"/>
          <w:lang w:val="hr-HR"/>
        </w:rPr>
        <w:t>g telekoma prema rješenju HAKOM</w:t>
      </w:r>
    </w:p>
    <w:p w:rsidR="00353344" w:rsidRPr="00586AC3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586AC3">
        <w:rPr>
          <w:rFonts w:ascii="Times New Roman" w:hAnsi="Times New Roman"/>
          <w:b/>
          <w:sz w:val="24"/>
          <w:szCs w:val="24"/>
          <w:lang w:val="hr-HR"/>
        </w:rPr>
        <w:t>6429</w:t>
      </w:r>
      <w:r w:rsidRPr="00586AC3">
        <w:rPr>
          <w:rFonts w:ascii="Times New Roman" w:hAnsi="Times New Roman"/>
          <w:bCs/>
          <w:sz w:val="24"/>
          <w:szCs w:val="24"/>
          <w:lang w:val="hr-HR"/>
        </w:rPr>
        <w:t xml:space="preserve"> – Porast prihoda od 120,50 % odnosi se na na</w:t>
      </w:r>
      <w:r>
        <w:rPr>
          <w:rFonts w:ascii="Times New Roman" w:hAnsi="Times New Roman"/>
          <w:bCs/>
          <w:sz w:val="24"/>
          <w:szCs w:val="24"/>
          <w:lang w:val="hr-HR"/>
        </w:rPr>
        <w:t>plaćenu naknadu za legalizaciju</w:t>
      </w:r>
      <w:r w:rsidRPr="00586AC3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</w:p>
    <w:p w:rsidR="00353344" w:rsidRPr="00A574E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574EC">
        <w:rPr>
          <w:rFonts w:ascii="Times New Roman" w:hAnsi="Times New Roman"/>
          <w:b/>
          <w:sz w:val="24"/>
          <w:szCs w:val="24"/>
          <w:lang w:val="hr-HR"/>
        </w:rPr>
        <w:t>6513</w:t>
      </w:r>
      <w:r w:rsidRPr="00A574EC">
        <w:rPr>
          <w:rFonts w:ascii="Times New Roman" w:hAnsi="Times New Roman"/>
          <w:bCs/>
          <w:sz w:val="24"/>
          <w:szCs w:val="24"/>
          <w:lang w:val="hr-HR"/>
        </w:rPr>
        <w:t xml:space="preserve"> – smanjenje od 89,10 % odnosi se na prihod od prodaje državnih biljega </w:t>
      </w:r>
    </w:p>
    <w:p w:rsidR="00353344" w:rsidRPr="00A574E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574EC">
        <w:rPr>
          <w:rFonts w:ascii="Times New Roman" w:hAnsi="Times New Roman"/>
          <w:b/>
          <w:sz w:val="24"/>
          <w:szCs w:val="24"/>
          <w:lang w:val="hr-HR"/>
        </w:rPr>
        <w:t>6521</w:t>
      </w:r>
      <w:r w:rsidRPr="00A574EC">
        <w:rPr>
          <w:rFonts w:ascii="Times New Roman" w:hAnsi="Times New Roman"/>
          <w:sz w:val="24"/>
          <w:szCs w:val="24"/>
          <w:lang w:val="hr-HR"/>
        </w:rPr>
        <w:t xml:space="preserve"> – u 2022. godini nije </w:t>
      </w:r>
      <w:proofErr w:type="spellStart"/>
      <w:r w:rsidRPr="00A574EC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A574EC">
        <w:rPr>
          <w:rFonts w:ascii="Times New Roman" w:hAnsi="Times New Roman"/>
          <w:sz w:val="24"/>
          <w:szCs w:val="24"/>
          <w:lang w:val="hr-HR"/>
        </w:rPr>
        <w:t xml:space="preserve"> prihod državne uprave u odnosu na 2021. godinu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>6526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- u 2022. godini nije </w:t>
      </w:r>
      <w:proofErr w:type="spellStart"/>
      <w:r w:rsidRPr="00E51F1E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E51F1E">
        <w:rPr>
          <w:rFonts w:ascii="Times New Roman" w:hAnsi="Times New Roman"/>
          <w:sz w:val="24"/>
          <w:szCs w:val="24"/>
          <w:lang w:val="hr-HR"/>
        </w:rPr>
        <w:t xml:space="preserve"> prihod u odnosu na 2021. godinu kada je </w:t>
      </w:r>
      <w:proofErr w:type="spellStart"/>
      <w:r w:rsidRPr="00E51F1E">
        <w:rPr>
          <w:rFonts w:ascii="Times New Roman" w:hAnsi="Times New Roman"/>
          <w:sz w:val="24"/>
          <w:szCs w:val="24"/>
          <w:lang w:val="hr-HR"/>
        </w:rPr>
        <w:t>ostavren</w:t>
      </w:r>
      <w:proofErr w:type="spellEnd"/>
      <w:r w:rsidRPr="00E51F1E">
        <w:rPr>
          <w:rFonts w:ascii="Times New Roman" w:hAnsi="Times New Roman"/>
          <w:sz w:val="24"/>
          <w:szCs w:val="24"/>
          <w:lang w:val="hr-HR"/>
        </w:rPr>
        <w:t xml:space="preserve"> prihod s naslova osiguranja za štetu na vozilu od osiguravajuće kuće</w:t>
      </w: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Pr="00090878" w:rsidRDefault="00353344" w:rsidP="00353344">
      <w:pPr>
        <w:ind w:left="-180"/>
        <w:jc w:val="both"/>
        <w:rPr>
          <w:sz w:val="20"/>
        </w:rPr>
      </w:pPr>
    </w:p>
    <w:p w:rsidR="00353344" w:rsidRPr="00E51F1E" w:rsidRDefault="00353344" w:rsidP="00353344">
      <w:pPr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090878">
        <w:rPr>
          <w:sz w:val="20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Rashodi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poslovanja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(3</w:t>
      </w:r>
      <w:proofErr w:type="gramStart"/>
      <w:r w:rsidRPr="00E51F1E">
        <w:rPr>
          <w:rFonts w:ascii="Times New Roman" w:hAnsi="Times New Roman"/>
          <w:sz w:val="24"/>
          <w:szCs w:val="24"/>
        </w:rPr>
        <w:t>)  u</w:t>
      </w:r>
      <w:proofErr w:type="gram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iznosu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od 4.582.195,91 </w:t>
      </w:r>
      <w:proofErr w:type="spellStart"/>
      <w:r w:rsidRPr="00E51F1E">
        <w:rPr>
          <w:rFonts w:ascii="Times New Roman" w:hAnsi="Times New Roman"/>
          <w:sz w:val="24"/>
          <w:szCs w:val="24"/>
        </w:rPr>
        <w:t>kn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1F1E">
        <w:rPr>
          <w:rFonts w:ascii="Times New Roman" w:hAnsi="Times New Roman"/>
          <w:sz w:val="24"/>
          <w:szCs w:val="24"/>
        </w:rPr>
        <w:t>manji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51F1E">
        <w:rPr>
          <w:rFonts w:ascii="Times New Roman" w:hAnsi="Times New Roman"/>
          <w:sz w:val="24"/>
          <w:szCs w:val="24"/>
        </w:rPr>
        <w:t>su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51F1E">
        <w:rPr>
          <w:rFonts w:ascii="Times New Roman" w:hAnsi="Times New Roman"/>
          <w:sz w:val="24"/>
          <w:szCs w:val="24"/>
        </w:rPr>
        <w:t>za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29,70 % u </w:t>
      </w:r>
      <w:proofErr w:type="spellStart"/>
      <w:r w:rsidRPr="00E51F1E">
        <w:rPr>
          <w:rFonts w:ascii="Times New Roman" w:hAnsi="Times New Roman"/>
          <w:sz w:val="24"/>
          <w:szCs w:val="24"/>
        </w:rPr>
        <w:t>odnosu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na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isto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razdoblje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prethodne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F1E">
        <w:rPr>
          <w:rFonts w:ascii="Times New Roman" w:hAnsi="Times New Roman"/>
          <w:sz w:val="24"/>
          <w:szCs w:val="24"/>
        </w:rPr>
        <w:t>godine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1F1E">
        <w:rPr>
          <w:rFonts w:ascii="Times New Roman" w:hAnsi="Times New Roman"/>
          <w:sz w:val="24"/>
          <w:szCs w:val="24"/>
        </w:rPr>
        <w:t>odnose</w:t>
      </w:r>
      <w:proofErr w:type="spellEnd"/>
      <w:r w:rsidRPr="00E51F1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51F1E">
        <w:rPr>
          <w:rFonts w:ascii="Times New Roman" w:hAnsi="Times New Roman"/>
          <w:sz w:val="24"/>
          <w:szCs w:val="24"/>
        </w:rPr>
        <w:t>na</w:t>
      </w:r>
      <w:proofErr w:type="spellEnd"/>
      <w:r w:rsidRPr="00E51F1E">
        <w:rPr>
          <w:rFonts w:ascii="Times New Roman" w:hAnsi="Times New Roman"/>
          <w:sz w:val="24"/>
          <w:szCs w:val="24"/>
        </w:rPr>
        <w:t>:</w:t>
      </w: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Pr="00E51F1E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E51F1E">
        <w:rPr>
          <w:rFonts w:ascii="Times New Roman" w:hAnsi="Times New Roman"/>
          <w:b/>
          <w:sz w:val="24"/>
          <w:szCs w:val="24"/>
          <w:lang w:val="hr-HR"/>
        </w:rPr>
        <w:t>31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 – Rashodi za zaposlene bilježe pad 51,00% iz razloga što su djelatnice projekta „Zaželi“ faza II radile u 2021. godine, </w:t>
      </w:r>
      <w:r>
        <w:rPr>
          <w:rFonts w:ascii="Times New Roman" w:hAnsi="Times New Roman"/>
          <w:sz w:val="24"/>
          <w:szCs w:val="24"/>
          <w:lang w:val="hr-HR"/>
        </w:rPr>
        <w:t>a u 2022. su započele s</w:t>
      </w:r>
      <w:r w:rsidRPr="00E51F1E">
        <w:rPr>
          <w:rFonts w:ascii="Times New Roman" w:hAnsi="Times New Roman"/>
          <w:sz w:val="24"/>
          <w:szCs w:val="24"/>
          <w:lang w:val="hr-HR"/>
        </w:rPr>
        <w:t xml:space="preserve"> radom u projektu Zaželi faza III u 12/2022.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3211</w:t>
      </w:r>
      <w:r w:rsidRPr="00E51F1E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sz w:val="24"/>
          <w:szCs w:val="24"/>
          <w:lang w:val="hr-HR"/>
        </w:rPr>
        <w:t xml:space="preserve"> porast rashoda za službena putovanja od 95,70%  odnose se na službena putovanja i naknadu smještaja</w:t>
      </w:r>
    </w:p>
    <w:p w:rsidR="00353344" w:rsidRPr="00E51F1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3212 </w:t>
      </w:r>
      <w:r>
        <w:rPr>
          <w:rFonts w:ascii="Times New Roman" w:hAnsi="Times New Roman"/>
          <w:sz w:val="24"/>
          <w:szCs w:val="24"/>
          <w:lang w:val="hr-HR"/>
        </w:rPr>
        <w:t>– do pada rashoda za naknadu za prijevoz od 56,40% u odnosu na 2021. došlo je zbog odlaska djelatnice na zamjeni kojoj je isplaćivana naknada za prijevoz s posla i na posao.</w:t>
      </w:r>
    </w:p>
    <w:p w:rsidR="00353344" w:rsidRPr="00326AC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326ACC">
        <w:rPr>
          <w:rFonts w:ascii="Times New Roman" w:hAnsi="Times New Roman"/>
          <w:b/>
          <w:sz w:val="24"/>
          <w:szCs w:val="24"/>
          <w:lang w:val="hr-HR"/>
        </w:rPr>
        <w:lastRenderedPageBreak/>
        <w:t>3213</w:t>
      </w:r>
      <w:r w:rsidRPr="00326ACC">
        <w:rPr>
          <w:rFonts w:ascii="Times New Roman" w:hAnsi="Times New Roman"/>
          <w:sz w:val="24"/>
          <w:szCs w:val="24"/>
          <w:lang w:val="hr-HR"/>
        </w:rPr>
        <w:t xml:space="preserve"> – do smanjenja rashoda za stručno usavršavanje zaposlenika od 93,10 % došlo je jer su u 2021. bile zaposlene djelatnice u projektu „Zaželi“ faza II – koje su išle na osposobljavanje za računalnog operatera.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3221</w:t>
      </w:r>
      <w:r w:rsidRPr="00862931">
        <w:rPr>
          <w:rFonts w:ascii="Times New Roman" w:hAnsi="Times New Roman"/>
          <w:sz w:val="24"/>
          <w:szCs w:val="24"/>
          <w:lang w:val="hr-HR"/>
        </w:rPr>
        <w:t>-</w:t>
      </w:r>
      <w:r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  <w:t xml:space="preserve"> </w:t>
      </w:r>
      <w:r w:rsidRPr="00326ACC">
        <w:rPr>
          <w:rFonts w:ascii="Times New Roman" w:hAnsi="Times New Roman"/>
          <w:sz w:val="24"/>
          <w:szCs w:val="24"/>
          <w:lang w:val="hr-HR"/>
        </w:rPr>
        <w:t>do smanjenja rashoda</w:t>
      </w:r>
      <w:r>
        <w:rPr>
          <w:rFonts w:ascii="Times New Roman" w:hAnsi="Times New Roman"/>
          <w:sz w:val="24"/>
          <w:szCs w:val="24"/>
          <w:lang w:val="hr-HR"/>
        </w:rPr>
        <w:t xml:space="preserve"> uredskog materijala i ostalih materijalnih rashoda od 70,80 % došlo je zbog projekta Zaželi faza II, koji je u 2022. godini započeo u 11/2022.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62931">
        <w:rPr>
          <w:rFonts w:ascii="Times New Roman" w:hAnsi="Times New Roman"/>
          <w:b/>
          <w:sz w:val="24"/>
          <w:szCs w:val="24"/>
          <w:lang w:val="hr-HR"/>
        </w:rPr>
        <w:t xml:space="preserve">3222 </w:t>
      </w:r>
      <w:r w:rsidRPr="00862931">
        <w:rPr>
          <w:rFonts w:ascii="Times New Roman" w:hAnsi="Times New Roman"/>
          <w:sz w:val="24"/>
          <w:szCs w:val="24"/>
          <w:lang w:val="hr-HR"/>
        </w:rPr>
        <w:t>– Rashodi za materijal i sirovine u 2022. godini bilježe pad od 79,70 % i odnose se na nabavku sadnica cvijeća i drveća na javnim površinama.</w:t>
      </w:r>
    </w:p>
    <w:p w:rsidR="00353344" w:rsidRPr="00862931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3223 </w:t>
      </w:r>
      <w:r>
        <w:rPr>
          <w:rFonts w:ascii="Times New Roman" w:hAnsi="Times New Roman"/>
          <w:sz w:val="24"/>
          <w:szCs w:val="24"/>
          <w:lang w:val="hr-HR"/>
        </w:rPr>
        <w:t>– rashodi za energiju u porastu su za 30 % zbog povećanja cijena energenata u 2022.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756B3">
        <w:rPr>
          <w:rFonts w:ascii="Times New Roman" w:hAnsi="Times New Roman"/>
          <w:b/>
          <w:sz w:val="24"/>
          <w:szCs w:val="24"/>
          <w:lang w:val="hr-HR"/>
        </w:rPr>
        <w:t xml:space="preserve">3224 </w:t>
      </w:r>
      <w:r w:rsidRPr="000756B3">
        <w:rPr>
          <w:rFonts w:ascii="Times New Roman" w:hAnsi="Times New Roman"/>
          <w:sz w:val="24"/>
          <w:szCs w:val="24"/>
          <w:lang w:val="hr-HR"/>
        </w:rPr>
        <w:t xml:space="preserve">– do smanjenja rashoda za materijal i dijelove za tekuće i investicijsko održavanje od 32,20% došlo je jer u odnosu na 2021. nije </w:t>
      </w:r>
      <w:proofErr w:type="spellStart"/>
      <w:r w:rsidRPr="000756B3">
        <w:rPr>
          <w:rFonts w:ascii="Times New Roman" w:hAnsi="Times New Roman"/>
          <w:sz w:val="24"/>
          <w:szCs w:val="24"/>
          <w:lang w:val="hr-HR"/>
        </w:rPr>
        <w:t>nabaljen</w:t>
      </w:r>
      <w:proofErr w:type="spellEnd"/>
      <w:r w:rsidRPr="000756B3">
        <w:rPr>
          <w:rFonts w:ascii="Times New Roman" w:hAnsi="Times New Roman"/>
          <w:sz w:val="24"/>
          <w:szCs w:val="24"/>
          <w:lang w:val="hr-HR"/>
        </w:rPr>
        <w:t xml:space="preserve"> kamen tucanik</w:t>
      </w:r>
      <w:r w:rsidRPr="000756B3">
        <w:rPr>
          <w:rFonts w:ascii="Times New Roman" w:hAnsi="Times New Roman"/>
          <w:bCs/>
          <w:sz w:val="24"/>
          <w:szCs w:val="24"/>
          <w:lang w:val="hr-HR"/>
        </w:rPr>
        <w:t>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756B3">
        <w:rPr>
          <w:rFonts w:ascii="Times New Roman" w:hAnsi="Times New Roman"/>
          <w:b/>
          <w:bCs/>
          <w:sz w:val="24"/>
          <w:szCs w:val="24"/>
          <w:lang w:val="hr-HR"/>
        </w:rPr>
        <w:t>3225 –</w:t>
      </w:r>
      <w:r w:rsidRPr="000756B3">
        <w:rPr>
          <w:rFonts w:ascii="Times New Roman" w:hAnsi="Times New Roman"/>
          <w:bCs/>
          <w:sz w:val="24"/>
          <w:szCs w:val="24"/>
          <w:lang w:val="hr-HR"/>
        </w:rPr>
        <w:t xml:space="preserve"> Rashodi za sitni inventar i auto gume u 2022. godini iznosili su 10.668,63 kn i za 46 % su manji u odnosu na 2021. godinu. Odnose se na nabavu inventara za školu engleskog jezika, posuda za cvijeće na javnim površinama općine i sl. </w:t>
      </w:r>
    </w:p>
    <w:p w:rsidR="00353344" w:rsidRPr="000756B3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3227 –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rashodi za službenu, radnu i zaštitnu odjeću i obuću u porastu je za 67,20 % u odnosu na 2021. zbog nabave nove radne odjeće za djelatnike komunalnog pogona.</w:t>
      </w:r>
    </w:p>
    <w:p w:rsidR="00353344" w:rsidRPr="001A48C9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937098">
        <w:rPr>
          <w:rFonts w:ascii="Times New Roman" w:hAnsi="Times New Roman"/>
          <w:b/>
          <w:bCs/>
          <w:sz w:val="24"/>
          <w:szCs w:val="24"/>
          <w:lang w:val="hr-HR"/>
        </w:rPr>
        <w:t>323 –</w:t>
      </w:r>
      <w:r w:rsidRPr="00937098">
        <w:rPr>
          <w:rFonts w:ascii="Times New Roman" w:hAnsi="Times New Roman"/>
          <w:bCs/>
          <w:sz w:val="24"/>
          <w:szCs w:val="24"/>
          <w:lang w:val="hr-HR"/>
        </w:rPr>
        <w:t xml:space="preserve"> Rashodi za usluge u padu su za 16,40 % u odnosu na 2021. godinu. Najveće odstupanje jeste u 3236 (zdravstvene i veterinarske usluge) koje su u padu od 93,30 % u odnosu na 2021. godinu jer su u 2021. bile zaposlene djelatnice projekta Zaželi faza II išle na obvezne zdravstvene preglede</w:t>
      </w:r>
      <w:r>
        <w:rPr>
          <w:rFonts w:ascii="Times New Roman" w:hAnsi="Times New Roman"/>
          <w:bCs/>
          <w:sz w:val="24"/>
          <w:szCs w:val="24"/>
          <w:lang w:val="hr-HR"/>
        </w:rPr>
        <w:t>, a u 2022. godini</w:t>
      </w:r>
      <w:r w:rsidRPr="00937098">
        <w:rPr>
          <w:rFonts w:ascii="Times New Roman" w:hAnsi="Times New Roman"/>
          <w:bCs/>
          <w:sz w:val="24"/>
          <w:szCs w:val="24"/>
          <w:lang w:val="hr-HR"/>
        </w:rPr>
        <w:t xml:space="preserve"> projekat je započeo u 11/2022.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1A48C9">
        <w:rPr>
          <w:rFonts w:ascii="Times New Roman" w:hAnsi="Times New Roman"/>
          <w:bCs/>
          <w:sz w:val="24"/>
          <w:szCs w:val="24"/>
          <w:lang w:val="hr-HR"/>
        </w:rPr>
        <w:t>Pad rashoda od 63,70 % pod 3239 (ostale usluge) u odnosu na 2021. godinu čine rashode za edukacije vanjskih stručnjaka prema ugovorima u okviru projekta FED CCNET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koji su izvršeni u 2021. </w:t>
      </w:r>
    </w:p>
    <w:p w:rsidR="00353344" w:rsidRPr="000D154D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0D154D">
        <w:rPr>
          <w:rFonts w:ascii="Times New Roman" w:hAnsi="Times New Roman"/>
          <w:b/>
          <w:bCs/>
          <w:sz w:val="24"/>
          <w:szCs w:val="24"/>
          <w:lang w:val="hr-HR"/>
        </w:rPr>
        <w:t>329</w:t>
      </w:r>
      <w:r w:rsidRPr="000D154D">
        <w:rPr>
          <w:rFonts w:ascii="Times New Roman" w:hAnsi="Times New Roman"/>
          <w:bCs/>
          <w:sz w:val="24"/>
          <w:szCs w:val="24"/>
          <w:lang w:val="hr-HR"/>
        </w:rPr>
        <w:t xml:space="preserve"> – ostali nespomenuti rashodi poslovanja smanjeni su u odnosu na 2021. godinu za 38,40%. Najveće odstupanje jeste u 3293 (reprezentacija) čiji su rashodi manji za 24,50%. Rashodi za pristojbe i naknade 3295 manji su za 86,50 % jer nije postojala obveza plaćanje naknade zbog nezapošljavanja osoba s invaliditetom u odnosu na broj zaposlenih.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Ostali nespomenuti rashodi poslovanja bilježe pad od 54,40 %, razlika je u rashodima za lokalne izbore održane  u 2021. godini.</w:t>
      </w:r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bCs/>
          <w:sz w:val="24"/>
          <w:szCs w:val="24"/>
          <w:lang w:val="hr-HR"/>
        </w:rPr>
        <w:t>34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Financijski rashodi su u padu za 38 % u odn</w:t>
      </w:r>
      <w:r>
        <w:rPr>
          <w:rFonts w:ascii="Times New Roman" w:hAnsi="Times New Roman"/>
          <w:bCs/>
          <w:sz w:val="24"/>
          <w:szCs w:val="24"/>
          <w:lang w:val="hr-HR"/>
        </w:rPr>
        <w:t>o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su na 2021. godinu. Rashod za 3423 nije ostvaren u 2022. jer je vraćen kredit u 2021.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Ostali nespomenuti rashodi 3434 manju su za 71,90 %, jer su u 2021. godini izvršeni povrati neutrošenih financijskih sredstava VSŽ 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za seosku prijestolnicu županije</w:t>
      </w:r>
      <w:r>
        <w:rPr>
          <w:rFonts w:ascii="Times New Roman" w:hAnsi="Times New Roman"/>
          <w:bCs/>
          <w:sz w:val="24"/>
          <w:szCs w:val="24"/>
          <w:lang w:val="hr-HR"/>
        </w:rPr>
        <w:t>, neutrošenih sredstava VSŽ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za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suf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projektiranja izgradnje uređaja za pročišćava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nje otpadnih voda aglomeracije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Opatovac-L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>ovas</w:t>
      </w:r>
      <w:proofErr w:type="spellEnd"/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F56BE">
        <w:rPr>
          <w:rFonts w:ascii="Times New Roman" w:hAnsi="Times New Roman"/>
          <w:b/>
          <w:bCs/>
          <w:sz w:val="24"/>
          <w:szCs w:val="24"/>
          <w:lang w:val="hr-HR"/>
        </w:rPr>
        <w:t>3523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Subvencije poljoprivrednicima i obrtnicima isplaćeni su u većem iznosu u odnosu na prošlu godinu. </w:t>
      </w:r>
    </w:p>
    <w:p w:rsidR="00353344" w:rsidRPr="001F56BE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1F56BE">
        <w:rPr>
          <w:rFonts w:ascii="Times New Roman" w:hAnsi="Times New Roman"/>
          <w:b/>
          <w:bCs/>
          <w:sz w:val="24"/>
          <w:szCs w:val="24"/>
          <w:lang w:val="hr-HR"/>
        </w:rPr>
        <w:t>3631</w:t>
      </w:r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– Tekuće pomoći unutar općeg proračuna odnose se na sponzorstvo Općini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Tovarnik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za nagradu na Tovarničkom </w:t>
      </w:r>
      <w:proofErr w:type="spellStart"/>
      <w:r w:rsidRPr="001F56BE">
        <w:rPr>
          <w:rFonts w:ascii="Times New Roman" w:hAnsi="Times New Roman"/>
          <w:bCs/>
          <w:sz w:val="24"/>
          <w:szCs w:val="24"/>
          <w:lang w:val="hr-HR"/>
        </w:rPr>
        <w:t>jeseskom</w:t>
      </w:r>
      <w:proofErr w:type="spellEnd"/>
      <w:r w:rsidRPr="001F56BE">
        <w:rPr>
          <w:rFonts w:ascii="Times New Roman" w:hAnsi="Times New Roman"/>
          <w:bCs/>
          <w:sz w:val="24"/>
          <w:szCs w:val="24"/>
          <w:lang w:val="hr-HR"/>
        </w:rPr>
        <w:t xml:space="preserve"> festivalu.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>3632</w:t>
      </w:r>
      <w:r w:rsidRPr="00804D8F">
        <w:rPr>
          <w:rFonts w:ascii="Times New Roman" w:hAnsi="Times New Roman"/>
          <w:bCs/>
          <w:sz w:val="24"/>
          <w:szCs w:val="24"/>
          <w:lang w:val="hr-HR"/>
        </w:rPr>
        <w:t xml:space="preserve"> – U 2022. godini nisu realizirane kapitalne pomoći unutar općeg proračuna za razliku od 2021. godine( uplate udjela Općine </w:t>
      </w:r>
      <w:proofErr w:type="spellStart"/>
      <w:r w:rsidRPr="00804D8F">
        <w:rPr>
          <w:rFonts w:ascii="Times New Roman" w:hAnsi="Times New Roman"/>
          <w:bCs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bCs/>
          <w:sz w:val="24"/>
          <w:szCs w:val="24"/>
          <w:lang w:val="hr-HR"/>
        </w:rPr>
        <w:t xml:space="preserve"> prema Fondu za zaštitu okoliša i energetsku učinkovitost prema ugovoru za nabavu spremnika za odvojeno prikupljanje komunalnog otpada – otpadnog papira, kartona i plastike).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 xml:space="preserve">3722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Porast ostalih naknada građanima i kućanstvima iz proračuna odnose se na povećana izdvajanja pomoći obiteljima i kućanstvima, za stipendije i školarine,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porodiljne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naknade i opremu za novorođenčad, sufinanciranje cijene prijevoza srednjoškolcima, ostale naknade iz proračuna u naravi, kao i potpore za novodoseljene i novoformirane obitelji na području Općine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 xml:space="preserve">3821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Kapitalne donacije neprofitnim organizacijama doznačene su u iznosu od 4.500,00 kn i odnose se na kapitalne potpore Župi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Sv.Mihaela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Arkanđela </w:t>
      </w:r>
      <w:proofErr w:type="spellStart"/>
      <w:r w:rsidRPr="00804D8F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804D8F">
        <w:rPr>
          <w:rFonts w:ascii="Times New Roman" w:hAnsi="Times New Roman"/>
          <w:sz w:val="24"/>
          <w:szCs w:val="24"/>
          <w:lang w:val="hr-HR"/>
        </w:rPr>
        <w:t xml:space="preserve"> u iznosu 2.000,00 kn i kapitalna potpora  ŠNK LOVAS u iznosu od 2.500,00 kn.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bCs/>
          <w:sz w:val="24"/>
          <w:szCs w:val="24"/>
          <w:lang w:val="hr-HR"/>
        </w:rPr>
        <w:t xml:space="preserve">X001 </w:t>
      </w:r>
      <w:r w:rsidRPr="00804D8F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Pr="00804D8F">
        <w:rPr>
          <w:rFonts w:ascii="Times New Roman" w:hAnsi="Times New Roman"/>
          <w:sz w:val="24"/>
          <w:szCs w:val="24"/>
          <w:lang w:val="hr-HR"/>
        </w:rPr>
        <w:t>U tekućoj 2022.  godini ostvaren je višak prihoda poslovanja u iznosu od 2.941.595,83 kn.</w:t>
      </w:r>
    </w:p>
    <w:p w:rsidR="00353344" w:rsidRPr="00804D8F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04D8F">
        <w:rPr>
          <w:rFonts w:ascii="Times New Roman" w:hAnsi="Times New Roman"/>
          <w:b/>
          <w:sz w:val="24"/>
          <w:szCs w:val="24"/>
          <w:lang w:val="hr-HR"/>
        </w:rPr>
        <w:t>7</w:t>
      </w:r>
      <w:r w:rsidRPr="00804D8F">
        <w:rPr>
          <w:rFonts w:ascii="Times New Roman" w:hAnsi="Times New Roman"/>
          <w:sz w:val="24"/>
          <w:szCs w:val="24"/>
          <w:lang w:val="hr-HR"/>
        </w:rPr>
        <w:t xml:space="preserve"> – Prihodi od prodaje nefinancijske imovine ostvareni su u iznosu od 135.000,00 kn, povećani su za 209,60% i odnose se na ostale nespomenute građevinske objekte, odnosno na prodaju grobnica.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52AA5">
        <w:rPr>
          <w:rFonts w:ascii="Times New Roman" w:hAnsi="Times New Roman"/>
          <w:b/>
          <w:sz w:val="24"/>
          <w:szCs w:val="24"/>
          <w:lang w:val="hr-HR"/>
        </w:rPr>
        <w:t xml:space="preserve"> 4126- </w:t>
      </w:r>
      <w:r w:rsidRPr="00152AA5">
        <w:rPr>
          <w:rFonts w:ascii="Times New Roman" w:hAnsi="Times New Roman"/>
          <w:bCs/>
          <w:sz w:val="24"/>
          <w:szCs w:val="24"/>
          <w:lang w:val="hr-HR"/>
        </w:rPr>
        <w:t>Rashodi za ostalu</w:t>
      </w:r>
      <w:r w:rsidRPr="00152AA5">
        <w:rPr>
          <w:rFonts w:ascii="Times New Roman" w:hAnsi="Times New Roman"/>
          <w:sz w:val="24"/>
          <w:szCs w:val="24"/>
          <w:lang w:val="hr-HR"/>
        </w:rPr>
        <w:t xml:space="preserve"> nematerijalnu imovinu ostvareni su u iznosu od 77.350,00 kn i niži su u odnosu na prethodnu godinu za 29,30 %. Odnose se na izradu projektne dokumentacije,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9/22, glavni projekt za izgradnju igrališta za stolni tenis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Opatovcu,na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k.č.br.439;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59/2022,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projek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.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tr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. za rekonstrukciju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kom.infrastrukture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na pravoslavnom groblju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76/2022,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projektanski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i ponudbeni troškovnik za radove na sanaciji i uređenju doma kulture u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bp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88/2022- tehnički elaborat i troškovnik za rekonstrukciju pješačkih staza na području općine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; izrada projektne dokumentacije 51/2022, projekt za rekonstrukciju građevine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gosp.namjene-mehaničarska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 xml:space="preserve"> radionica i prenamjena dijela prostora u spremište za smještaj </w:t>
      </w:r>
      <w:proofErr w:type="spellStart"/>
      <w:r w:rsidRPr="00152AA5">
        <w:rPr>
          <w:rFonts w:ascii="Times New Roman" w:hAnsi="Times New Roman"/>
          <w:sz w:val="24"/>
          <w:szCs w:val="24"/>
          <w:lang w:val="hr-HR"/>
        </w:rPr>
        <w:t>poljop.mehanizacije</w:t>
      </w:r>
      <w:proofErr w:type="spellEnd"/>
      <w:r w:rsidRPr="00152AA5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152AA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4212 –</w:t>
      </w:r>
      <w:r>
        <w:rPr>
          <w:rFonts w:ascii="Times New Roman" w:hAnsi="Times New Roman"/>
          <w:sz w:val="24"/>
          <w:szCs w:val="24"/>
          <w:lang w:val="hr-HR"/>
        </w:rPr>
        <w:t xml:space="preserve"> Rashodi za poslovne objekte odnose se na kupovinu nekretnine od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Arator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d.o.o. u iznosu od 650.000,00 kn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4214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Rashodi za ostale građevinske objekte iznose 2.683.448,75 kn.</w:t>
      </w:r>
    </w:p>
    <w:p w:rsidR="00353344" w:rsidRPr="007D7F55" w:rsidRDefault="00353344" w:rsidP="00353344">
      <w:pPr>
        <w:ind w:left="643"/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sz w:val="24"/>
          <w:szCs w:val="24"/>
          <w:lang w:val="hr-HR"/>
        </w:rPr>
        <w:t xml:space="preserve">Iznos od 2.243.870,25 kn odnosi se na izgradnju spomen područja "Minsko polje"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 Iznos od 100.000,00 kn odnosi se na izgradnju grobnica. Iznos od 23.000,00</w:t>
      </w:r>
      <w:r>
        <w:rPr>
          <w:rFonts w:ascii="Times New Roman" w:hAnsi="Times New Roman"/>
          <w:sz w:val="24"/>
          <w:szCs w:val="24"/>
          <w:lang w:val="hr-HR"/>
        </w:rPr>
        <w:t xml:space="preserve"> kn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odnosi se na navodnjavanje teniskog športskog terena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 xml:space="preserve">. Iznos od 277.828,50 kn odnosi se na rekonstrukciju Doma kulture u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Opatovcu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 Iznos od 38.750,00 kn odnosi se na projekt uređenja unutarnjeg prostora -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Društveni dom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>.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b/>
          <w:sz w:val="24"/>
          <w:szCs w:val="24"/>
          <w:lang w:val="hr-HR"/>
        </w:rPr>
        <w:t>4221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U 2022. godini ostvareni su rashodi u iznosu 3.549,00 kn za </w:t>
      </w:r>
      <w:r>
        <w:rPr>
          <w:rFonts w:ascii="Times New Roman" w:hAnsi="Times New Roman"/>
          <w:sz w:val="24"/>
          <w:szCs w:val="24"/>
          <w:lang w:val="hr-HR"/>
        </w:rPr>
        <w:t>kupovinu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fotoaparata.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4222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- U 2022. godini ostvareni su rashodi u iznosu </w:t>
      </w:r>
      <w:r>
        <w:rPr>
          <w:rFonts w:ascii="Times New Roman" w:hAnsi="Times New Roman"/>
          <w:sz w:val="24"/>
          <w:szCs w:val="24"/>
          <w:lang w:val="hr-HR"/>
        </w:rPr>
        <w:t>1.860,95 kn za kupovinu TV uređaja za školu engleskog jezika.</w:t>
      </w:r>
    </w:p>
    <w:p w:rsidR="00353344" w:rsidRPr="007D7F55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7D7F55">
        <w:rPr>
          <w:rFonts w:ascii="Times New Roman" w:hAnsi="Times New Roman"/>
          <w:b/>
          <w:sz w:val="24"/>
          <w:szCs w:val="24"/>
          <w:lang w:val="hr-HR"/>
        </w:rPr>
        <w:t>4227</w:t>
      </w:r>
      <w:r w:rsidRPr="007D7F55">
        <w:rPr>
          <w:rFonts w:ascii="Times New Roman" w:hAnsi="Times New Roman"/>
          <w:sz w:val="24"/>
          <w:szCs w:val="24"/>
          <w:lang w:val="hr-HR"/>
        </w:rPr>
        <w:t xml:space="preserve"> – Rashodi za uređaje, strojeve i opremu za ostale namjene ostvareni su u iznosu od 111.156,77 kn i bilježe pad od 72,10 % . Ostvareni su rashodi za nabavku kuhinje za općinski stan za smještaj ukrajinske obitelji; za iznos od 106.250,00 kn kupljena je </w:t>
      </w:r>
      <w:proofErr w:type="spellStart"/>
      <w:r w:rsidRPr="007D7F55">
        <w:rPr>
          <w:rFonts w:ascii="Times New Roman" w:hAnsi="Times New Roman"/>
          <w:sz w:val="24"/>
          <w:szCs w:val="24"/>
          <w:lang w:val="hr-HR"/>
        </w:rPr>
        <w:t>malčer-kranska</w:t>
      </w:r>
      <w:proofErr w:type="spellEnd"/>
      <w:r w:rsidRPr="007D7F55">
        <w:rPr>
          <w:rFonts w:ascii="Times New Roman" w:hAnsi="Times New Roman"/>
          <w:sz w:val="24"/>
          <w:szCs w:val="24"/>
          <w:lang w:val="hr-HR"/>
        </w:rPr>
        <w:t xml:space="preserve"> traktorska kosilica; solo kosilica u iznosu 2.564,91 kn.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4262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 – Rashodi za ulaganje u računalne programe ostvareni su u iznosu 19.000,00 kn radi implementacije eura kao službene valute u informacijski sustav.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Y002</w:t>
      </w:r>
      <w:r>
        <w:rPr>
          <w:rFonts w:ascii="Times New Roman" w:hAnsi="Times New Roman"/>
          <w:sz w:val="24"/>
          <w:szCs w:val="24"/>
          <w:lang w:val="hr-HR"/>
        </w:rPr>
        <w:t xml:space="preserve"> – U 2022. godini ostvaren je manjak prihoda od nefinancijske imovine u iznosu od 3.414.365,47 kn.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8471</w:t>
      </w:r>
      <w:r w:rsidRPr="0046014C">
        <w:rPr>
          <w:rFonts w:ascii="Times New Roman" w:hAnsi="Times New Roman"/>
          <w:sz w:val="24"/>
          <w:szCs w:val="24"/>
          <w:lang w:val="hr-HR"/>
        </w:rPr>
        <w:t xml:space="preserve"> – Primljeni zajmovi od državnog proračuna ostvareni su u iznosu od 60.032,70 kn</w:t>
      </w:r>
      <w:r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color w:val="A6A6A6" w:themeColor="background1" w:themeShade="A6"/>
          <w:sz w:val="24"/>
          <w:szCs w:val="24"/>
          <w:lang w:val="hr-HR"/>
        </w:rPr>
        <w:t xml:space="preserve">      </w:t>
      </w:r>
    </w:p>
    <w:p w:rsidR="00353344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5321</w:t>
      </w:r>
      <w:r w:rsidRPr="0046014C">
        <w:rPr>
          <w:rFonts w:ascii="Times New Roman" w:hAnsi="Times New Roman"/>
          <w:sz w:val="24"/>
          <w:szCs w:val="24"/>
          <w:lang w:val="hr-HR"/>
        </w:rPr>
        <w:t>- u 2022. nije bilo izdataka za dionice za razliku od 2021.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1A117B">
        <w:rPr>
          <w:rFonts w:ascii="Times New Roman" w:hAnsi="Times New Roman"/>
          <w:b/>
          <w:sz w:val="24"/>
          <w:szCs w:val="24"/>
          <w:lang w:val="hr-HR"/>
        </w:rPr>
        <w:t>5422</w:t>
      </w:r>
      <w:r>
        <w:rPr>
          <w:rFonts w:ascii="Times New Roman" w:hAnsi="Times New Roman"/>
          <w:sz w:val="24"/>
          <w:szCs w:val="24"/>
          <w:lang w:val="hr-HR"/>
        </w:rPr>
        <w:t xml:space="preserve"> – u 2022. godini nije bilo izdataka za otplatu kredita jer je kredit vraćen u 2021.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6014C">
        <w:rPr>
          <w:rFonts w:ascii="Times New Roman" w:hAnsi="Times New Roman"/>
          <w:b/>
          <w:sz w:val="24"/>
          <w:szCs w:val="24"/>
          <w:lang w:val="hr-HR"/>
        </w:rPr>
        <w:t xml:space="preserve">X003 – </w:t>
      </w:r>
      <w:proofErr w:type="spellStart"/>
      <w:r w:rsidRPr="0046014C">
        <w:rPr>
          <w:rFonts w:ascii="Times New Roman" w:hAnsi="Times New Roman"/>
          <w:sz w:val="24"/>
          <w:szCs w:val="24"/>
          <w:lang w:val="hr-HR"/>
        </w:rPr>
        <w:t>Osvaren</w:t>
      </w:r>
      <w:proofErr w:type="spellEnd"/>
      <w:r w:rsidRPr="0046014C">
        <w:rPr>
          <w:rFonts w:ascii="Times New Roman" w:hAnsi="Times New Roman"/>
          <w:sz w:val="24"/>
          <w:szCs w:val="24"/>
          <w:lang w:val="hr-HR"/>
        </w:rPr>
        <w:t xml:space="preserve"> je višak primitaka od financijske imovine u iznosu od 60.032,70 kn.</w:t>
      </w:r>
    </w:p>
    <w:p w:rsidR="00353344" w:rsidRPr="0046014C" w:rsidRDefault="00353344" w:rsidP="00353344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46014C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X006 – </w:t>
      </w:r>
      <w:r w:rsidRPr="0046014C">
        <w:rPr>
          <w:rFonts w:ascii="Times New Roman" w:hAnsi="Times New Roman"/>
          <w:sz w:val="24"/>
          <w:szCs w:val="24"/>
          <w:lang w:val="hr-HR"/>
        </w:rPr>
        <w:t>Ostvareni višak prihoda i primitaka sa prenesenim viškom raspoloživ u sljedećem razdoblju iznosi 594.912,76 kn.</w:t>
      </w:r>
    </w:p>
    <w:p w:rsidR="00353344" w:rsidRPr="00A33D09" w:rsidRDefault="00353344" w:rsidP="00353344">
      <w:pPr>
        <w:jc w:val="both"/>
        <w:rPr>
          <w:rFonts w:ascii="Times New Roman" w:hAnsi="Times New Roman"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Pr="00DD6371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>BILJEŠKE UZ OBRAZAC BILANCA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1. </w:t>
      </w:r>
      <w:r w:rsidRPr="001D01D1">
        <w:rPr>
          <w:b/>
          <w:sz w:val="24"/>
        </w:rPr>
        <w:t>129</w:t>
      </w:r>
      <w:r w:rsidRPr="001D01D1">
        <w:rPr>
          <w:sz w:val="24"/>
        </w:rPr>
        <w:t xml:space="preserve"> – Ostala potraživanja odnose se na potraživanja od HZZO-a za naknade koje se refundiraju.</w:t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2. </w:t>
      </w:r>
      <w:r w:rsidRPr="001D01D1">
        <w:rPr>
          <w:b/>
          <w:sz w:val="24"/>
        </w:rPr>
        <w:t>16</w:t>
      </w:r>
      <w:r w:rsidRPr="001D01D1">
        <w:rPr>
          <w:sz w:val="24"/>
        </w:rPr>
        <w:t xml:space="preserve"> – Potraživanja za prihode poslovanja odnose se na:</w:t>
      </w:r>
      <w:r w:rsidRPr="001D01D1">
        <w:rPr>
          <w:sz w:val="24"/>
        </w:rPr>
        <w:tab/>
      </w:r>
      <w:r w:rsidRPr="001D01D1">
        <w:rPr>
          <w:sz w:val="24"/>
        </w:rPr>
        <w:tab/>
      </w:r>
      <w:r w:rsidRPr="001D01D1">
        <w:rPr>
          <w:sz w:val="24"/>
        </w:rPr>
        <w:tab/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>- potraživanje za prihode od imovine                                           233.222,87 kn</w:t>
      </w:r>
    </w:p>
    <w:p w:rsidR="00353344" w:rsidRPr="001D01D1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 xml:space="preserve">- potraživanja za upravne i administrativne pristojbe </w:t>
      </w:r>
      <w:r w:rsidRPr="001D01D1">
        <w:rPr>
          <w:sz w:val="24"/>
        </w:rPr>
        <w:tab/>
        <w:t xml:space="preserve">        825.457,24 kn</w:t>
      </w:r>
    </w:p>
    <w:p w:rsidR="00353344" w:rsidRDefault="00353344" w:rsidP="00353344">
      <w:pPr>
        <w:pStyle w:val="Tijeloteksta2"/>
        <w:rPr>
          <w:sz w:val="24"/>
        </w:rPr>
      </w:pPr>
      <w:r w:rsidRPr="001D01D1">
        <w:rPr>
          <w:sz w:val="24"/>
        </w:rPr>
        <w:t>- potraživanja za kazne i upravne mjere, te ostale prihode             63.200,85 kn</w:t>
      </w:r>
    </w:p>
    <w:p w:rsidR="00353344" w:rsidRPr="001D01D1" w:rsidRDefault="00353344" w:rsidP="00353344">
      <w:pPr>
        <w:pStyle w:val="Tijeloteksta2"/>
        <w:rPr>
          <w:sz w:val="24"/>
        </w:rPr>
      </w:pPr>
      <w:r>
        <w:rPr>
          <w:sz w:val="24"/>
        </w:rPr>
        <w:t>- 169- Ispravak vrijednosti potraživanja                                        837.665,04 kn</w:t>
      </w:r>
    </w:p>
    <w:p w:rsidR="00353344" w:rsidRPr="001D01D1" w:rsidRDefault="00353344" w:rsidP="00353344">
      <w:pPr>
        <w:pStyle w:val="Tijeloteksta2"/>
        <w:rPr>
          <w:color w:val="A6A6A6" w:themeColor="background1" w:themeShade="A6"/>
          <w:sz w:val="24"/>
        </w:rPr>
      </w:pPr>
      <w:r>
        <w:rPr>
          <w:sz w:val="24"/>
        </w:rPr>
        <w:t>3</w:t>
      </w:r>
      <w:r w:rsidRPr="001D01D1">
        <w:rPr>
          <w:sz w:val="24"/>
        </w:rPr>
        <w:t xml:space="preserve">. </w:t>
      </w:r>
      <w:r w:rsidRPr="001D01D1">
        <w:rPr>
          <w:b/>
          <w:sz w:val="24"/>
        </w:rPr>
        <w:t>17</w:t>
      </w:r>
      <w:r w:rsidRPr="001D01D1">
        <w:rPr>
          <w:sz w:val="24"/>
        </w:rPr>
        <w:t xml:space="preserve"> – Potraživanja od prodaje nefinancijske imovine iznose       </w:t>
      </w:r>
      <w:r>
        <w:rPr>
          <w:sz w:val="24"/>
        </w:rPr>
        <w:t xml:space="preserve">  </w:t>
      </w:r>
      <w:r w:rsidRPr="001D01D1">
        <w:rPr>
          <w:sz w:val="24"/>
        </w:rPr>
        <w:t xml:space="preserve">3.496,55 kn   </w:t>
      </w:r>
      <w:r w:rsidRPr="001D01D1">
        <w:rPr>
          <w:color w:val="A6A6A6" w:themeColor="background1" w:themeShade="A6"/>
          <w:sz w:val="24"/>
        </w:rPr>
        <w:t xml:space="preserve"> 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4. </w:t>
      </w:r>
      <w:r w:rsidRPr="00DD6371">
        <w:rPr>
          <w:b/>
          <w:sz w:val="24"/>
        </w:rPr>
        <w:t>2</w:t>
      </w:r>
      <w:r w:rsidRPr="00DD6371">
        <w:rPr>
          <w:sz w:val="24"/>
        </w:rPr>
        <w:t xml:space="preserve"> – Obveze se odnose na: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zaposlene                                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 xml:space="preserve"> 225.217,66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materijalne rashode                                                  </w:t>
      </w:r>
      <w:r>
        <w:rPr>
          <w:sz w:val="24"/>
        </w:rPr>
        <w:t xml:space="preserve">   </w:t>
      </w:r>
      <w:r w:rsidRPr="00DD6371">
        <w:rPr>
          <w:sz w:val="24"/>
        </w:rPr>
        <w:t>166.808,47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>-obveze za financijske rashode                                                        1.494,55 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subvencije                                   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>5.128,06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naknade građanima i kućanstvima                              </w:t>
      </w:r>
      <w:r>
        <w:rPr>
          <w:sz w:val="24"/>
        </w:rPr>
        <w:t xml:space="preserve"> </w:t>
      </w:r>
      <w:r w:rsidRPr="00DD6371">
        <w:rPr>
          <w:sz w:val="24"/>
        </w:rPr>
        <w:t xml:space="preserve"> 11.861,97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kazne, naknade šteta i kapitalne pomoći                   </w:t>
      </w:r>
      <w:r>
        <w:rPr>
          <w:sz w:val="24"/>
        </w:rPr>
        <w:t xml:space="preserve">  </w:t>
      </w:r>
      <w:r w:rsidRPr="00DD6371">
        <w:rPr>
          <w:sz w:val="24"/>
        </w:rPr>
        <w:t xml:space="preserve"> 20.196,10 kn</w:t>
      </w:r>
      <w:r w:rsidRPr="00DD6371">
        <w:rPr>
          <w:sz w:val="24"/>
        </w:rPr>
        <w:tab/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 ostale tekuće obveze                                                                 </w:t>
      </w:r>
      <w:r>
        <w:rPr>
          <w:sz w:val="24"/>
        </w:rPr>
        <w:t xml:space="preserve">     </w:t>
      </w:r>
      <w:r w:rsidRPr="00DD6371">
        <w:rPr>
          <w:sz w:val="24"/>
        </w:rPr>
        <w:t>4.633,08 kn</w:t>
      </w:r>
    </w:p>
    <w:p w:rsidR="00353344" w:rsidRPr="00DD6371" w:rsidRDefault="00353344" w:rsidP="00353344">
      <w:pPr>
        <w:pStyle w:val="Tijeloteksta2"/>
        <w:rPr>
          <w:sz w:val="24"/>
        </w:rPr>
      </w:pPr>
      <w:r w:rsidRPr="00DD6371">
        <w:rPr>
          <w:sz w:val="24"/>
        </w:rPr>
        <w:t xml:space="preserve">-obveze za nabavu nefinancijske imovine                                  </w:t>
      </w:r>
      <w:r>
        <w:rPr>
          <w:sz w:val="24"/>
        </w:rPr>
        <w:t xml:space="preserve">  </w:t>
      </w:r>
      <w:r w:rsidRPr="00DD6371">
        <w:rPr>
          <w:sz w:val="24"/>
        </w:rPr>
        <w:t>598.235,42 kn</w:t>
      </w:r>
    </w:p>
    <w:p w:rsidR="00353344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353344" w:rsidRPr="00DD6371" w:rsidRDefault="00353344" w:rsidP="00353344">
      <w:pPr>
        <w:pStyle w:val="Tijelotekst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6371">
        <w:rPr>
          <w:rFonts w:ascii="Times New Roman" w:hAnsi="Times New Roman"/>
          <w:sz w:val="24"/>
          <w:szCs w:val="24"/>
        </w:rPr>
        <w:t>Višak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prihoda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primitaka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raspoloživ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sljedećem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razdoblju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iznosi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594.912,76 </w:t>
      </w:r>
      <w:proofErr w:type="gramStart"/>
      <w:r w:rsidRPr="00DD6371">
        <w:rPr>
          <w:rFonts w:ascii="Times New Roman" w:hAnsi="Times New Roman"/>
          <w:sz w:val="24"/>
          <w:szCs w:val="24"/>
        </w:rPr>
        <w:t>kn</w:t>
      </w:r>
      <w:proofErr w:type="gramEnd"/>
      <w:r w:rsidRPr="00DD6371">
        <w:rPr>
          <w:rFonts w:ascii="Times New Roman" w:hAnsi="Times New Roman"/>
          <w:sz w:val="24"/>
          <w:szCs w:val="24"/>
        </w:rPr>
        <w:t>.</w:t>
      </w:r>
    </w:p>
    <w:p w:rsidR="00353344" w:rsidRPr="00A33D09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353344" w:rsidRPr="00A33D09" w:rsidRDefault="00353344" w:rsidP="00353344">
      <w:pPr>
        <w:pStyle w:val="Tijeloteksta2"/>
        <w:rPr>
          <w:color w:val="A6A6A6" w:themeColor="background1" w:themeShade="A6"/>
          <w:sz w:val="24"/>
        </w:rPr>
      </w:pPr>
    </w:p>
    <w:p w:rsidR="00353344" w:rsidRPr="00DD6371" w:rsidRDefault="00353344" w:rsidP="00353344">
      <w:pPr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>BILJEŠKE UZ OBRAZAC RASHODI PREMA FUNKCIJSKOJ KLASIFIKACIJI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1.  031 </w:t>
      </w:r>
      <w:r w:rsidRPr="00DD287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razliku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od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prethodne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kada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izvršen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prijenos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sredstava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sufinanciranja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prema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sporazumu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suradnji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D2875">
        <w:rPr>
          <w:rFonts w:ascii="Times New Roman" w:hAnsi="Times New Roman"/>
          <w:sz w:val="24"/>
          <w:szCs w:val="24"/>
        </w:rPr>
        <w:t>prevenciji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kriminaliteta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nabavu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letjelica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, u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nije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bilo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031 </w:t>
      </w:r>
      <w:proofErr w:type="spellStart"/>
      <w:r w:rsidRPr="00DD2875">
        <w:rPr>
          <w:rFonts w:ascii="Times New Roman" w:hAnsi="Times New Roman"/>
          <w:sz w:val="24"/>
          <w:szCs w:val="24"/>
        </w:rPr>
        <w:t>usluge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policije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2.  036 </w:t>
      </w:r>
      <w:r w:rsidRPr="00DD2875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javni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red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sigurnost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76,90 % </w:t>
      </w:r>
      <w:proofErr w:type="spellStart"/>
      <w:r w:rsidRPr="00DD2875">
        <w:rPr>
          <w:rFonts w:ascii="Times New Roman" w:hAnsi="Times New Roman"/>
          <w:sz w:val="24"/>
          <w:szCs w:val="24"/>
        </w:rPr>
        <w:t>odnosi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2875">
        <w:rPr>
          <w:rFonts w:ascii="Times New Roman" w:hAnsi="Times New Roman"/>
          <w:sz w:val="24"/>
          <w:szCs w:val="24"/>
        </w:rPr>
        <w:t>na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civilnu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zaštitu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3.  042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porasta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zbog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kupovine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nekretnine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 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lastRenderedPageBreak/>
        <w:t xml:space="preserve">4. </w:t>
      </w:r>
      <w:r w:rsidRPr="001A117B">
        <w:rPr>
          <w:rFonts w:ascii="Times New Roman" w:hAnsi="Times New Roman"/>
          <w:b/>
          <w:sz w:val="24"/>
          <w:szCs w:val="24"/>
        </w:rPr>
        <w:t>053</w:t>
      </w:r>
      <w:r w:rsidRPr="00DD287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D2875">
        <w:rPr>
          <w:rFonts w:ascii="Times New Roman" w:hAnsi="Times New Roman"/>
          <w:sz w:val="24"/>
          <w:szCs w:val="24"/>
        </w:rPr>
        <w:t>u</w:t>
      </w:r>
      <w:proofErr w:type="gramEnd"/>
      <w:r w:rsidRPr="00DD2875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nije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bilo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rashoda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zagađivanja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razliku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od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kad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nastao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</w:t>
      </w:r>
      <w:r w:rsidRPr="00DD2875">
        <w:rPr>
          <w:rFonts w:ascii="Times New Roman" w:hAnsi="Times New Roman"/>
          <w:sz w:val="24"/>
          <w:szCs w:val="24"/>
        </w:rPr>
        <w:t>shod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nabavu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opreme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razvrstavanje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otpada</w:t>
      </w:r>
      <w:proofErr w:type="spell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DD2875" w:rsidRDefault="00353344" w:rsidP="00353344">
      <w:pPr>
        <w:jc w:val="both"/>
        <w:rPr>
          <w:rFonts w:ascii="Times New Roman" w:hAnsi="Times New Roman"/>
          <w:sz w:val="24"/>
          <w:szCs w:val="24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5.  081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troškova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vezanih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službe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rekreacije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sporta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D2875">
        <w:rPr>
          <w:rFonts w:ascii="Times New Roman" w:hAnsi="Times New Roman"/>
          <w:sz w:val="24"/>
          <w:szCs w:val="24"/>
        </w:rPr>
        <w:t>zbog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D2875">
        <w:rPr>
          <w:rFonts w:ascii="Times New Roman" w:hAnsi="Times New Roman"/>
          <w:sz w:val="24"/>
          <w:szCs w:val="24"/>
        </w:rPr>
        <w:t>ulaganja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2021.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D28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DD2875">
        <w:rPr>
          <w:rFonts w:ascii="Times New Roman" w:hAnsi="Times New Roman"/>
          <w:sz w:val="24"/>
          <w:szCs w:val="24"/>
        </w:rPr>
        <w:t>dječja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igrališta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2875">
        <w:rPr>
          <w:rFonts w:ascii="Times New Roman" w:hAnsi="Times New Roman"/>
          <w:sz w:val="24"/>
          <w:szCs w:val="24"/>
        </w:rPr>
        <w:t>Sportskom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centru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dječjem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vrtiću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Bajka</w:t>
      </w:r>
      <w:proofErr w:type="spellEnd"/>
      <w:r>
        <w:rPr>
          <w:rFonts w:ascii="Times New Roman" w:hAnsi="Times New Roman"/>
          <w:sz w:val="24"/>
          <w:szCs w:val="24"/>
        </w:rPr>
        <w:t xml:space="preserve">” u </w:t>
      </w:r>
      <w:proofErr w:type="spellStart"/>
      <w:r>
        <w:rPr>
          <w:rFonts w:ascii="Times New Roman" w:hAnsi="Times New Roman"/>
          <w:sz w:val="24"/>
          <w:szCs w:val="24"/>
        </w:rPr>
        <w:t>Lovasu</w:t>
      </w:r>
      <w:proofErr w:type="spellEnd"/>
    </w:p>
    <w:p w:rsidR="00353344" w:rsidRPr="00DD2875" w:rsidRDefault="00353344" w:rsidP="00353344">
      <w:pPr>
        <w:jc w:val="both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  <w:r w:rsidRPr="00DD2875">
        <w:rPr>
          <w:rFonts w:ascii="Times New Roman" w:hAnsi="Times New Roman"/>
          <w:b/>
          <w:sz w:val="24"/>
          <w:szCs w:val="24"/>
          <w:lang w:val="hr-HR"/>
        </w:rPr>
        <w:t xml:space="preserve">6.  102 </w:t>
      </w:r>
      <w:r w:rsidRPr="00DD2875">
        <w:rPr>
          <w:rFonts w:ascii="Times New Roman" w:hAnsi="Times New Roman"/>
          <w:sz w:val="24"/>
          <w:szCs w:val="24"/>
        </w:rPr>
        <w:t xml:space="preserve">– do </w:t>
      </w:r>
      <w:proofErr w:type="spellStart"/>
      <w:r w:rsidRPr="00DD2875">
        <w:rPr>
          <w:rFonts w:ascii="Times New Roman" w:hAnsi="Times New Roman"/>
          <w:sz w:val="24"/>
          <w:szCs w:val="24"/>
        </w:rPr>
        <w:t>smanjenje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troškova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vezanih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starost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došlo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s </w:t>
      </w:r>
      <w:proofErr w:type="spellStart"/>
      <w:r w:rsidRPr="00DD2875">
        <w:rPr>
          <w:rFonts w:ascii="Times New Roman" w:hAnsi="Times New Roman"/>
          <w:sz w:val="24"/>
          <w:szCs w:val="24"/>
        </w:rPr>
        <w:t>obzirom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da se u 2021.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provodio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projekat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DD2875">
        <w:rPr>
          <w:rFonts w:ascii="Times New Roman" w:hAnsi="Times New Roman"/>
          <w:sz w:val="24"/>
          <w:szCs w:val="24"/>
        </w:rPr>
        <w:t>Zaželi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DD2875">
        <w:rPr>
          <w:rFonts w:ascii="Times New Roman" w:hAnsi="Times New Roman"/>
          <w:sz w:val="24"/>
          <w:szCs w:val="24"/>
        </w:rPr>
        <w:t>faza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II </w:t>
      </w:r>
      <w:proofErr w:type="spellStart"/>
      <w:r w:rsidRPr="00DD2875">
        <w:rPr>
          <w:rFonts w:ascii="Times New Roman" w:hAnsi="Times New Roman"/>
          <w:sz w:val="24"/>
          <w:szCs w:val="24"/>
        </w:rPr>
        <w:t>koji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je u 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godini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875">
        <w:rPr>
          <w:rFonts w:ascii="Times New Roman" w:hAnsi="Times New Roman"/>
          <w:sz w:val="24"/>
          <w:szCs w:val="24"/>
        </w:rPr>
        <w:t>započeo</w:t>
      </w:r>
      <w:proofErr w:type="spellEnd"/>
      <w:r w:rsidRPr="00DD2875">
        <w:rPr>
          <w:rFonts w:ascii="Times New Roman" w:hAnsi="Times New Roman"/>
          <w:sz w:val="24"/>
          <w:szCs w:val="24"/>
        </w:rPr>
        <w:t xml:space="preserve"> u 11/2022. </w:t>
      </w:r>
      <w:proofErr w:type="spellStart"/>
      <w:proofErr w:type="gramStart"/>
      <w:r w:rsidRPr="00DD28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DD2875">
        <w:rPr>
          <w:rFonts w:ascii="Times New Roman" w:hAnsi="Times New Roman"/>
          <w:sz w:val="24"/>
          <w:szCs w:val="24"/>
        </w:rPr>
        <w:t>.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highlight w:val="yellow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Pr="00DD6371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>BILJEŠKE UZ OBRAZAC P-VRIO</w:t>
      </w:r>
    </w:p>
    <w:p w:rsidR="00353344" w:rsidRPr="00A33D09" w:rsidRDefault="00353344" w:rsidP="00353344">
      <w:pPr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  <w:lang w:val="hr-HR"/>
        </w:rPr>
      </w:pPr>
    </w:p>
    <w:p w:rsidR="00353344" w:rsidRPr="00DD6371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DD6371">
        <w:rPr>
          <w:rFonts w:ascii="Times New Roman" w:hAnsi="Times New Roman"/>
          <w:b/>
          <w:sz w:val="24"/>
          <w:szCs w:val="24"/>
          <w:lang w:val="hr-HR"/>
        </w:rPr>
        <w:t xml:space="preserve">1.  91512 </w:t>
      </w:r>
      <w:r w:rsidRPr="00DD6371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DD6371">
        <w:rPr>
          <w:rFonts w:ascii="Times New Roman" w:hAnsi="Times New Roman"/>
          <w:sz w:val="24"/>
          <w:szCs w:val="24"/>
        </w:rPr>
        <w:t>Promjene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obujmu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financijske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imovine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DD6371">
        <w:rPr>
          <w:rFonts w:ascii="Times New Roman" w:hAnsi="Times New Roman"/>
          <w:sz w:val="24"/>
          <w:szCs w:val="24"/>
        </w:rPr>
        <w:t>obrascu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P-VRIO </w:t>
      </w:r>
      <w:proofErr w:type="spellStart"/>
      <w:r w:rsidRPr="00DD6371">
        <w:rPr>
          <w:rFonts w:ascii="Times New Roman" w:hAnsi="Times New Roman"/>
          <w:sz w:val="24"/>
          <w:szCs w:val="24"/>
        </w:rPr>
        <w:t>odnose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D6371">
        <w:rPr>
          <w:rFonts w:ascii="Times New Roman" w:hAnsi="Times New Roman"/>
          <w:sz w:val="24"/>
          <w:szCs w:val="24"/>
        </w:rPr>
        <w:t>na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otpis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nenaplaćenih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potraživanja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za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komunalni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doprinos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6371">
        <w:rPr>
          <w:rFonts w:ascii="Times New Roman" w:hAnsi="Times New Roman"/>
          <w:sz w:val="24"/>
          <w:szCs w:val="24"/>
        </w:rPr>
        <w:t>tvrtki</w:t>
      </w:r>
      <w:proofErr w:type="spellEnd"/>
      <w:r w:rsidRPr="00DD6371">
        <w:rPr>
          <w:rFonts w:ascii="Times New Roman" w:hAnsi="Times New Roman"/>
          <w:sz w:val="24"/>
          <w:szCs w:val="24"/>
        </w:rPr>
        <w:t xml:space="preserve"> METALFER STEEL </w:t>
      </w:r>
      <w:proofErr w:type="spellStart"/>
      <w:r w:rsidRPr="00DD6371">
        <w:rPr>
          <w:rFonts w:ascii="Times New Roman" w:hAnsi="Times New Roman"/>
          <w:sz w:val="24"/>
          <w:szCs w:val="24"/>
        </w:rPr>
        <w:t>d.o.o</w:t>
      </w:r>
      <w:proofErr w:type="spellEnd"/>
      <w:r w:rsidRPr="00DD6371">
        <w:rPr>
          <w:rFonts w:ascii="Times New Roman" w:hAnsi="Times New Roman"/>
          <w:sz w:val="24"/>
          <w:szCs w:val="24"/>
        </w:rPr>
        <w:t>.</w:t>
      </w:r>
      <w:r w:rsidRPr="00DD6371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353344" w:rsidRPr="00DD6371" w:rsidRDefault="00353344" w:rsidP="00353344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:rsidR="00353344" w:rsidRDefault="00353344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1E30C7" w:rsidRDefault="001E30C7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6"/>
        <w:gridCol w:w="216"/>
        <w:gridCol w:w="2639"/>
        <w:gridCol w:w="701"/>
        <w:gridCol w:w="236"/>
        <w:gridCol w:w="1189"/>
        <w:gridCol w:w="831"/>
        <w:gridCol w:w="385"/>
        <w:gridCol w:w="804"/>
        <w:gridCol w:w="767"/>
        <w:gridCol w:w="449"/>
        <w:gridCol w:w="1226"/>
        <w:gridCol w:w="345"/>
        <w:gridCol w:w="1675"/>
        <w:gridCol w:w="1275"/>
      </w:tblGrid>
      <w:tr w:rsidR="00DA6545" w:rsidRPr="00DA6545" w:rsidTr="008F2576">
        <w:trPr>
          <w:trHeight w:val="300"/>
        </w:trPr>
        <w:tc>
          <w:tcPr>
            <w:tcW w:w="4812" w:type="dxa"/>
            <w:gridSpan w:val="4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OPĆINA LOVAS, ANTE STARČEVIĆA 5, 32 237 LOVAS</w:t>
            </w:r>
          </w:p>
        </w:tc>
        <w:tc>
          <w:tcPr>
            <w:tcW w:w="23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3295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125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9473" w:type="dxa"/>
            <w:gridSpan w:val="11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EVIDENCIJA PRIMLJENIH  VRIJEDNOSNIH PAPIRA I DRUGIH FINANCIJSKIH INSTRUMENATA na 31.12.2022.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1256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855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4111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  <w:t>PRIMLJENO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63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</w:p>
        </w:tc>
      </w:tr>
      <w:tr w:rsidR="00DA6545" w:rsidRPr="00DA6545" w:rsidTr="008F2576">
        <w:trPr>
          <w:trHeight w:val="3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Datum</w:t>
            </w:r>
          </w:p>
        </w:tc>
        <w:tc>
          <w:tcPr>
            <w:tcW w:w="2639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Dokument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Izdatnik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Vjerovnik</w:t>
            </w:r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Iznos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Osnova izdavanja</w:t>
            </w:r>
          </w:p>
        </w:tc>
        <w:tc>
          <w:tcPr>
            <w:tcW w:w="16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Svrha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Vrijedi do</w:t>
            </w:r>
          </w:p>
        </w:tc>
      </w:tr>
      <w:tr w:rsidR="00DA6545" w:rsidRPr="00DA6545" w:rsidTr="008F2576">
        <w:trPr>
          <w:trHeight w:val="66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27.07.2018.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OV-4354/2018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TRIKO d.o.o. ILOK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07.11.2018.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OV-8676/2018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IVAN VELERAJTER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231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21.01.2019.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1904000520 Zagrebačka banka d.d.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PLANUM-GRAĐENJE D.O.O.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48.632,07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OP 23/18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garantnom periodu na izvedenim radovima Energetske obnove zgrade dječjeg vrtića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30.01.2023.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25.02.2019.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OV-860/2019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 Vukovar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koncesiji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Do isteka ugovora o koncesiji</w:t>
            </w:r>
          </w:p>
        </w:tc>
      </w:tr>
      <w:tr w:rsidR="00DA6545" w:rsidRPr="00DA6545" w:rsidTr="008F2576">
        <w:trPr>
          <w:trHeight w:val="103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28.05.2019.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br.8136003488, Agram banka d.d. Zagreb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OSIJEK-KOTEKS D.D. OSIJEK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91.436,84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18029-U/2018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garantni rok po projektu Asfaltiranje nerazvrstane ceste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31.05.2021.</w:t>
            </w:r>
          </w:p>
        </w:tc>
      </w:tr>
      <w:tr w:rsidR="00DA6545" w:rsidRPr="00DA6545" w:rsidTr="008F2576">
        <w:trPr>
          <w:trHeight w:val="129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29.08.2019.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OV-4711/2019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br. 19/19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uredno ispunjenje ugovora o izvođenju radova rekonstrukcije potpornog zida 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25.11.2019.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OV-8059/2019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Šalaj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Ružica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23.12.2019.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OV-8842/2019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Ruža Krizmanić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24.01.2020.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OV-359/2020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BALIĆ ELEKTRO Obrt,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održavanju javne rasvjete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8F2576">
        <w:trPr>
          <w:trHeight w:val="180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30.04.2020.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OV-3401/2020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EKO-DIM Dimnjačarsko-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usužni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obrt,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obavljanju dimnjačarskih poslova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Instrument osiguranja pravovremenog i kontinuiranog obavljanja komunalne djelatnosti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Do isteka ugovora 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13.08.2020.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OV-4349/2020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nerazvrstane ceste  - groblje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II. faza, unutar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k.č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 688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dobro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21.08.2020.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OV-3281/2020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PZ LOVAS,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dodjeli sredstava u zadrugarstvu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30.10.2020.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OV-5494/2020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ANJA ANTOLOVIĆ,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03.03.2021.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OV-5705/2018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WATMONT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rekonstrukciji pješačkih staza na području Općine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275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29.03.2021.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OV-2077/2020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- Izgradnja rekreacijskog objekta, dječjeg igrališta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19.04.2021.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OV-2407/2021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CESTORAD d.d.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za izvođenje radova na izgradnji nerazvrstanih cesta   unutar k.č.br.: 2735, 2764 i 2769 k.o.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OV-2178/2021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02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29.10.2021.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OV-2179/2021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GRADEKO d.o.o. Zagreb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opreme za razvrstavanje otpada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OV-7603/2021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PERO SABLJAK,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OV-7524/2021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TOMISLAV VIDIĆ,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Za dobro izvršenje </w:t>
            </w: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11.11.2021.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OV-7549/2021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VLATKO PALIJAN,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OV-6370/2021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NIVES HORVAT,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Opatovac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29.11.2021.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OV-7744/2021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MIRJANA MARTINOVIĆ,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vraćeno 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OV-4514/2021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OV-4515/2021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530"/>
        </w:trPr>
        <w:tc>
          <w:tcPr>
            <w:tcW w:w="1472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23.11.2021.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OV-3166/2021</w:t>
            </w:r>
          </w:p>
        </w:tc>
        <w:tc>
          <w:tcPr>
            <w:tcW w:w="701" w:type="dxa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AKSION d.o.o. Vinkovci</w:t>
            </w:r>
          </w:p>
        </w:tc>
        <w:tc>
          <w:tcPr>
            <w:tcW w:w="1189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noWrap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javnoj nabavi - Postavljanje igrališta u Dječjem vrtiću "BAJKA"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Jamstvo za otklanjanje nedostataka u jamstvenom roku 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15.06.2022.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Garancija br. 5402298037 ERSTE&amp;STEIERMARKISCHE BANK DD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KOMUNALAC D.O.O. Vukovar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239.980,12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javnoj nabavi radova za predmet nabave Izgradnja Spomen područja Minsko polje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Garancija za uredno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izvršenej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23.01.2023.</w:t>
            </w:r>
          </w:p>
        </w:tc>
      </w:tr>
      <w:tr w:rsidR="00DA6545" w:rsidRPr="00DA6545" w:rsidTr="008F2576">
        <w:trPr>
          <w:trHeight w:val="15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07.07.2022.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OV-3273/2022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DAFRA TRADE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j.d.o.o</w:t>
            </w:r>
            <w:proofErr w:type="spellEnd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.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50.000,00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Ugovor o jednostavnoj nabavi- rekonstrukcija Doma kulture u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Opatovcu</w:t>
            </w:r>
            <w:proofErr w:type="spellEnd"/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Jamstvo za uredno ispunjenje Ugovora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Po urednom ispunjenju Ugovora</w:t>
            </w:r>
          </w:p>
        </w:tc>
      </w:tr>
      <w:tr w:rsidR="00DA6545" w:rsidRPr="00DA6545" w:rsidTr="008F2576">
        <w:trPr>
          <w:trHeight w:val="780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OV-6980/2022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Jasna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Pavličić</w:t>
            </w:r>
            <w:proofErr w:type="spellEnd"/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94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04.11.2022.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OV-6408/2022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Marija Pole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  <w:tr w:rsidR="00DA6545" w:rsidRPr="00DA6545" w:rsidTr="008F2576">
        <w:trPr>
          <w:trHeight w:val="1035"/>
        </w:trPr>
        <w:tc>
          <w:tcPr>
            <w:tcW w:w="1472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lastRenderedPageBreak/>
              <w:t>03.11.2022.</w:t>
            </w:r>
          </w:p>
        </w:tc>
        <w:tc>
          <w:tcPr>
            <w:tcW w:w="2639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Bjanko zadužnica br. OV-6383/2022</w:t>
            </w:r>
          </w:p>
        </w:tc>
        <w:tc>
          <w:tcPr>
            <w:tcW w:w="701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</w:t>
            </w:r>
          </w:p>
        </w:tc>
        <w:tc>
          <w:tcPr>
            <w:tcW w:w="2256" w:type="dxa"/>
            <w:gridSpan w:val="3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Mato Ivančić</w:t>
            </w:r>
          </w:p>
        </w:tc>
        <w:tc>
          <w:tcPr>
            <w:tcW w:w="1189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 xml:space="preserve">Općina </w:t>
            </w:r>
            <w:proofErr w:type="spellStart"/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Lovas</w:t>
            </w:r>
            <w:proofErr w:type="spellEnd"/>
          </w:p>
        </w:tc>
        <w:tc>
          <w:tcPr>
            <w:tcW w:w="1216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10.000,00 kn</w:t>
            </w:r>
          </w:p>
        </w:tc>
        <w:tc>
          <w:tcPr>
            <w:tcW w:w="1571" w:type="dxa"/>
            <w:gridSpan w:val="2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Ugovor o stipendiranju</w:t>
            </w:r>
          </w:p>
        </w:tc>
        <w:tc>
          <w:tcPr>
            <w:tcW w:w="16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Za dobro izvršenje ugovora o stipendiranju</w:t>
            </w:r>
          </w:p>
        </w:tc>
        <w:tc>
          <w:tcPr>
            <w:tcW w:w="1275" w:type="dxa"/>
            <w:hideMark/>
          </w:tcPr>
          <w:p w:rsidR="00DA6545" w:rsidRPr="00DA6545" w:rsidRDefault="00DA6545" w:rsidP="00DA6545">
            <w:pPr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</w:pPr>
            <w:r w:rsidRPr="00DA6545">
              <w:rPr>
                <w:rFonts w:asciiTheme="minorHAnsi" w:eastAsiaTheme="minorHAnsi" w:hAnsiTheme="minorHAnsi" w:cstheme="minorBidi"/>
                <w:szCs w:val="22"/>
                <w:lang w:val="hr-HR" w:eastAsia="en-US"/>
              </w:rPr>
              <w:t> </w:t>
            </w:r>
          </w:p>
        </w:tc>
      </w:tr>
    </w:tbl>
    <w:p w:rsidR="00DA6545" w:rsidRPr="00DA6545" w:rsidRDefault="00DA6545" w:rsidP="00DA6545">
      <w:pPr>
        <w:spacing w:after="160" w:line="259" w:lineRule="auto"/>
        <w:rPr>
          <w:rFonts w:asciiTheme="minorHAnsi" w:eastAsiaTheme="minorHAnsi" w:hAnsiTheme="minorHAnsi" w:cstheme="minorBidi"/>
          <w:szCs w:val="22"/>
          <w:lang w:val="hr-HR" w:eastAsia="en-US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lastRenderedPageBreak/>
        <w:t>Naziv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obveznika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OPĆINA LOVAS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Razina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32 237 LOVAS, A. STARČEVIĆA 5                                     RKP: 36532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Matični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02566010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županije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16</w:t>
      </w:r>
    </w:p>
    <w:p w:rsidR="00DA6545" w:rsidRPr="00753140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753140">
        <w:rPr>
          <w:rFonts w:ascii="Times New Roman" w:hAnsi="Times New Roman"/>
          <w:b/>
          <w:sz w:val="24"/>
          <w:szCs w:val="24"/>
        </w:rPr>
        <w:t xml:space="preserve">OIB: </w:t>
      </w:r>
      <w:proofErr w:type="gramStart"/>
      <w:r w:rsidRPr="00753140">
        <w:rPr>
          <w:rFonts w:ascii="Times New Roman" w:hAnsi="Times New Roman"/>
          <w:b/>
          <w:sz w:val="24"/>
          <w:szCs w:val="24"/>
        </w:rPr>
        <w:t xml:space="preserve">06939947940                                                                                 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proofErr w:type="gram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općine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239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53140">
        <w:rPr>
          <w:rFonts w:ascii="Times New Roman" w:hAnsi="Times New Roman"/>
          <w:b/>
          <w:sz w:val="24"/>
          <w:szCs w:val="24"/>
        </w:rPr>
        <w:t>Šifra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53140">
        <w:rPr>
          <w:rFonts w:ascii="Times New Roman" w:hAnsi="Times New Roman"/>
          <w:b/>
          <w:sz w:val="24"/>
          <w:szCs w:val="24"/>
        </w:rPr>
        <w:t>djelatnosti</w:t>
      </w:r>
      <w:proofErr w:type="spellEnd"/>
      <w:r w:rsidRPr="00753140">
        <w:rPr>
          <w:rFonts w:ascii="Times New Roman" w:hAnsi="Times New Roman"/>
          <w:b/>
          <w:sz w:val="24"/>
          <w:szCs w:val="24"/>
        </w:rPr>
        <w:t>: 8411</w:t>
      </w:r>
    </w:p>
    <w:p w:rsidR="00DA6545" w:rsidRDefault="00DA6545" w:rsidP="00DA6545">
      <w:pPr>
        <w:rPr>
          <w:rFonts w:ascii="Times New Roman" w:hAnsi="Times New Roman"/>
          <w:b/>
          <w:sz w:val="24"/>
          <w:szCs w:val="24"/>
        </w:rPr>
      </w:pPr>
    </w:p>
    <w:p w:rsidR="00DA6545" w:rsidRPr="000A1A71" w:rsidRDefault="00DA6545" w:rsidP="00DA6545">
      <w:pPr>
        <w:rPr>
          <w:rFonts w:ascii="Times New Roman" w:hAnsi="Times New Roman"/>
          <w:b/>
          <w:sz w:val="24"/>
          <w:szCs w:val="24"/>
        </w:rPr>
      </w:pPr>
      <w:r w:rsidRPr="000A1A71">
        <w:rPr>
          <w:rFonts w:ascii="Times New Roman" w:hAnsi="Times New Roman"/>
          <w:b/>
          <w:sz w:val="24"/>
          <w:szCs w:val="24"/>
        </w:rPr>
        <w:t xml:space="preserve">POPIS SUDSKIH SPOROVA </w:t>
      </w:r>
      <w:r>
        <w:rPr>
          <w:rFonts w:ascii="Times New Roman" w:hAnsi="Times New Roman"/>
          <w:b/>
          <w:sz w:val="24"/>
          <w:szCs w:val="24"/>
        </w:rPr>
        <w:t xml:space="preserve">U TIJEKU </w:t>
      </w:r>
      <w:r w:rsidRPr="000A1A71">
        <w:rPr>
          <w:rFonts w:ascii="Times New Roman" w:hAnsi="Times New Roman"/>
          <w:b/>
          <w:sz w:val="24"/>
          <w:szCs w:val="24"/>
        </w:rPr>
        <w:t>ZA 20</w:t>
      </w:r>
      <w:r>
        <w:rPr>
          <w:rFonts w:ascii="Times New Roman" w:hAnsi="Times New Roman"/>
          <w:b/>
          <w:sz w:val="24"/>
          <w:szCs w:val="24"/>
        </w:rPr>
        <w:t>22. GODINU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115"/>
        <w:gridCol w:w="2277"/>
        <w:gridCol w:w="7371"/>
      </w:tblGrid>
      <w:tr w:rsidR="00DA6545" w:rsidRPr="002C7115" w:rsidTr="008F2576">
        <w:tc>
          <w:tcPr>
            <w:tcW w:w="1812" w:type="dxa"/>
          </w:tcPr>
          <w:p w:rsidR="00DA6545" w:rsidRPr="000A1A71" w:rsidRDefault="00DA6545" w:rsidP="008F2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OPIS SPORA</w:t>
            </w:r>
          </w:p>
        </w:tc>
        <w:tc>
          <w:tcPr>
            <w:tcW w:w="2115" w:type="dxa"/>
          </w:tcPr>
          <w:p w:rsidR="00DA6545" w:rsidRPr="000A1A71" w:rsidRDefault="00DA6545" w:rsidP="008F2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TUŽITELJ</w:t>
            </w:r>
          </w:p>
        </w:tc>
        <w:tc>
          <w:tcPr>
            <w:tcW w:w="2277" w:type="dxa"/>
          </w:tcPr>
          <w:p w:rsidR="00DA6545" w:rsidRPr="000A1A71" w:rsidRDefault="00DA6545" w:rsidP="008F2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A71">
              <w:rPr>
                <w:rFonts w:ascii="Times New Roman" w:hAnsi="Times New Roman"/>
                <w:sz w:val="24"/>
                <w:szCs w:val="24"/>
              </w:rPr>
              <w:t>TUŽENIK</w:t>
            </w:r>
          </w:p>
        </w:tc>
        <w:tc>
          <w:tcPr>
            <w:tcW w:w="7371" w:type="dxa"/>
          </w:tcPr>
          <w:p w:rsidR="00DA6545" w:rsidRPr="000A1A71" w:rsidRDefault="00DA6545" w:rsidP="008F2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PROC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JENA OBVEZE IZ SUDSKOG SPORA</w:t>
            </w:r>
          </w:p>
        </w:tc>
      </w:tr>
      <w:tr w:rsidR="00DA6545" w:rsidRPr="002C7115" w:rsidTr="008F2576">
        <w:tc>
          <w:tcPr>
            <w:tcW w:w="1812" w:type="dxa"/>
          </w:tcPr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zaštitu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1A71">
              <w:rPr>
                <w:rFonts w:ascii="Times New Roman" w:hAnsi="Times New Roman"/>
                <w:sz w:val="24"/>
                <w:szCs w:val="24"/>
              </w:rPr>
              <w:t>zaprimljen</w:t>
            </w:r>
            <w:proofErr w:type="spellEnd"/>
            <w:proofErr w:type="gram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11.09.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018.</w:t>
            </w:r>
          </w:p>
        </w:tc>
        <w:tc>
          <w:tcPr>
            <w:tcW w:w="2115" w:type="dxa"/>
          </w:tcPr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Zdravko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Keser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Franje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Račkog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19,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punom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ćniku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Martina </w:t>
            </w:r>
            <w:proofErr w:type="spellStart"/>
            <w:r w:rsidRPr="000A1A71">
              <w:rPr>
                <w:rFonts w:ascii="Times New Roman" w:hAnsi="Times New Roman"/>
                <w:sz w:val="24"/>
                <w:szCs w:val="24"/>
              </w:rPr>
              <w:t>Alagić</w:t>
            </w:r>
            <w:proofErr w:type="spellEnd"/>
          </w:p>
        </w:tc>
        <w:tc>
          <w:tcPr>
            <w:tcW w:w="2277" w:type="dxa"/>
          </w:tcPr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7371" w:type="dxa"/>
          </w:tcPr>
          <w:p w:rsidR="00DA6545" w:rsidRPr="000A1A71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U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sporu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tužbi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Zdravka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Kesera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Općinskim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zahtijeva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utvrđenje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imenovani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zaključio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Ugovor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neodređeno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vrijeme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te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mu se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priznaju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prava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odnosa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zatim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vodio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na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Županijskom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sudu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,</w:t>
            </w:r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a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rješenja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procesnog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pitanja</w:t>
            </w:r>
            <w:proofErr w:type="spellEnd"/>
            <w:r w:rsidRPr="000A1A71"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završetka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2019.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postupila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prema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toga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žalbi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nalazi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Republike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Hrvatske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Zagrebu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povodom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revizije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izjavljene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protiv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pravomoćne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presude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Vukovaru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Poslovni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: 11 Pr-146/2018-4, od 08.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studenog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2018.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</w:p>
          <w:p w:rsidR="00DA6545" w:rsidRPr="000A1A71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trenutku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budući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vidljivi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donošenja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Vrhovnog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odrediti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daljnji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tijek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Pr="000A1A71" w:rsidRDefault="00DA6545" w:rsidP="008F257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545" w:rsidRPr="002C7115" w:rsidTr="008F2576">
        <w:tc>
          <w:tcPr>
            <w:tcW w:w="1812" w:type="dxa"/>
          </w:tcPr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iznosa</w:t>
            </w:r>
            <w:proofErr w:type="spellEnd"/>
          </w:p>
        </w:tc>
        <w:tc>
          <w:tcPr>
            <w:tcW w:w="2115" w:type="dxa"/>
          </w:tcPr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Općina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 06939947940 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tarčevića</w:t>
            </w:r>
            <w:proofErr w:type="spellEnd"/>
            <w:r w:rsidRPr="000A1A71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DA6545" w:rsidRPr="000A1A71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32 237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0A1A71">
              <w:rPr>
                <w:rFonts w:ascii="Times New Roman" w:hAnsi="Times New Roman"/>
                <w:sz w:val="24"/>
                <w:szCs w:val="24"/>
              </w:rPr>
              <w:t>ovas</w:t>
            </w:r>
            <w:proofErr w:type="spellEnd"/>
          </w:p>
        </w:tc>
        <w:tc>
          <w:tcPr>
            <w:tcW w:w="2277" w:type="dxa"/>
          </w:tcPr>
          <w:p w:rsidR="00DA6545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6545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OIB: 39862250297</w:t>
            </w:r>
          </w:p>
          <w:p w:rsidR="00DA6545" w:rsidRDefault="00DA6545" w:rsidP="008F25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zona bb</w:t>
            </w:r>
          </w:p>
        </w:tc>
        <w:tc>
          <w:tcPr>
            <w:tcW w:w="7371" w:type="dxa"/>
          </w:tcPr>
          <w:p w:rsidR="00DA6545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Trgovačkim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Osijeku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P- 106/21.,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između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tužitelja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Općine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Metalfer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Steel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Lovas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Gospodarska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zona bb,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radi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isplate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novčanog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iznosa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785.410,00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istog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od 15.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rujna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određen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prekid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obzirom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da je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tuženikom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rješenjem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St- 376/21., od 17.lipnja 2021. </w:t>
            </w:r>
            <w:proofErr w:type="spellStart"/>
            <w:proofErr w:type="gram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otvoren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  <w:p w:rsidR="00DA6545" w:rsidRDefault="00DA6545" w:rsidP="008F2576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Nastavak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parničnog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ovisi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statusu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postupka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vodi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nad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stečajnim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dužnikom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stoga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moguće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prognozirati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financijskog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učinka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može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proisteći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ovog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sudskog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spora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U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Lovasu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, 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veljače</w:t>
      </w:r>
      <w:proofErr w:type="spellEnd"/>
      <w:proofErr w:type="gramEnd"/>
      <w:r w:rsidRPr="000A1A71">
        <w:rPr>
          <w:rFonts w:ascii="Times New Roman" w:hAnsi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0A1A7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A1A71">
        <w:rPr>
          <w:rFonts w:ascii="Times New Roman" w:hAnsi="Times New Roman"/>
          <w:color w:val="000000"/>
          <w:sz w:val="24"/>
          <w:szCs w:val="24"/>
        </w:rPr>
        <w:t>godine</w:t>
      </w:r>
      <w:proofErr w:type="spellEnd"/>
      <w:proofErr w:type="gramEnd"/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Osoba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kontakt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Conjar</w:t>
      </w:r>
      <w:proofErr w:type="spellEnd"/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 032/525-909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Zakonski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predstavnik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>:</w:t>
      </w:r>
    </w:p>
    <w:p w:rsidR="00DA6545" w:rsidRPr="000A1A71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Načelnica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Općine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Lovas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A6545" w:rsidRDefault="00DA6545" w:rsidP="00DA65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1A7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Tanja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Cirba</w:t>
      </w:r>
      <w:proofErr w:type="spellEnd"/>
      <w:r w:rsidRPr="000A1A7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A1A71">
        <w:rPr>
          <w:rFonts w:ascii="Times New Roman" w:hAnsi="Times New Roman"/>
          <w:color w:val="000000"/>
          <w:sz w:val="24"/>
          <w:szCs w:val="24"/>
        </w:rPr>
        <w:t>dipl.novinar</w:t>
      </w:r>
      <w:proofErr w:type="spellEnd"/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A6545" w:rsidRDefault="00DA6545">
      <w:pPr>
        <w:spacing w:after="160" w:line="259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 w:type="page"/>
      </w:r>
    </w:p>
    <w:p w:rsidR="00DA6545" w:rsidRPr="00DD6371" w:rsidRDefault="00DA6545" w:rsidP="00353344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C0B52" w:rsidRDefault="00FC0B52"/>
    <w:sectPr w:rsidR="00FC0B52" w:rsidSect="00DA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479DD"/>
    <w:multiLevelType w:val="hybridMultilevel"/>
    <w:tmpl w:val="38989536"/>
    <w:lvl w:ilvl="0" w:tplc="D77C64E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44"/>
    <w:rsid w:val="001E30C7"/>
    <w:rsid w:val="00353344"/>
    <w:rsid w:val="00DA6545"/>
    <w:rsid w:val="00FC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6A936-40DB-4605-A6C5-D6C2E28F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44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353344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53344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353344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353344"/>
    <w:rPr>
      <w:rFonts w:ascii="Arial" w:eastAsia="Times New Roman" w:hAnsi="Arial" w:cs="Times New Roman"/>
      <w:sz w:val="16"/>
      <w:szCs w:val="16"/>
      <w:lang w:val="en-US" w:eastAsia="hr-HR"/>
    </w:rPr>
  </w:style>
  <w:style w:type="table" w:styleId="Reetkatablice">
    <w:name w:val="Table Grid"/>
    <w:basedOn w:val="Obinatablica"/>
    <w:uiPriority w:val="39"/>
    <w:rsid w:val="00DA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3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0C7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3</cp:revision>
  <cp:lastPrinted>2023-02-15T07:52:00Z</cp:lastPrinted>
  <dcterms:created xsi:type="dcterms:W3CDTF">2023-02-14T13:11:00Z</dcterms:created>
  <dcterms:modified xsi:type="dcterms:W3CDTF">2023-02-15T07:52:00Z</dcterms:modified>
</cp:coreProperties>
</file>